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aeva-20260730.htm"/>
      <w:bookmarkStart w:id="1" w:name="ksaeva20260730"/>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Aeva Technologies,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001-39204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84-3080757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Ellis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481-7070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AEVA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05, 2026, Aeva Technologies, Inc. (the “Company”) issued a press release announcing financial results for the quarter ended June 30, 2026. A copy of the press release is furnished as Exhibit 99.1 to this Current Report on Form 8-K and is incorporated by reference in this Item 2.02.</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information set forth in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30, 2026, Saurabh Sinha informed the Company that, following six years of service with the Company, he plans to resign as Chief Financial Officer, effective September 05, 2026, to pursue another opportunity outside of the sensing industry. The Company has already initiated a search for a permanent successor and will announce the appointment once finalized.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on July 30, 2026, Rupesh Maheshwari was appointed to serve as the Company’s interim Chief Financial Officer, effective September 05, 2026, upon Mr. Sinha’s departure. Mr. Maheshwari, age 50, has served as the Company’s Vice President Corporate Controller, since he joined the Company in December 2025. Prior to joining the Company, Mr. Maheshwari was Global Corporate Controller at Waabi, an autonomous trucking and robotaxi company, from November 2024 to December 2025. Prior to joining Waabi, Mr. Maheshwari was Global Corporate Controller at Covariant, an AI and robotics company, from August 2022 to November 2024. Prior to that, Mr. Maheshwari served as VP Global Corporate Controller at Fundbox, a financial technology company, from September 2020 to August 2022. Mr. Maheshwari received his Bachelor of Commerce degree from the Vikram University, India. Mr. Maheshwari is a Chartered Accountant in India and a Certified Public Accountant (Inactive) in California.</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selection of Mr. Maheshwari to serve as the Company’s interim Chief Financial Officer was not pursuant to any arrangement or understanding with respect to any other person. There are no family relationships between Mr. Maheshwari and any director or executive officer of the Company, and there are no transactions between Mr. Maheshwari and the Company that would be required to be reported under Item 404(a) of Regulation S-K. Mr. Maheshwari receives a base salary of $280,500 per year and is entitled to participate in the Company’s other compensation programs. He has also entered into the Company’s standard form of indemnification agreement.</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507" w:type="dxa"/>
        <w:jc w:val="left"/>
        <w:tblInd w:w="0" w:type="dxa"/>
        <w:tblLayout w:type="fixed"/>
        <w:tblCellMar>
          <w:top w:w="28" w:type="dxa"/>
          <w:left w:w="28" w:type="dxa"/>
          <w:bottom w:w="28" w:type="dxa"/>
          <w:right w:w="28" w:type="dxa"/>
        </w:tblCellMar>
      </w:tblPr>
      <w:tblGrid>
        <w:gridCol w:w="506"/>
        <w:gridCol w:w="457"/>
        <w:gridCol w:w="461"/>
        <w:gridCol w:w="146"/>
        <w:gridCol w:w="146"/>
        <w:gridCol w:w="146"/>
        <w:gridCol w:w="2007"/>
        <w:gridCol w:w="2007"/>
        <w:gridCol w:w="2631"/>
      </w:tblGrid>
      <w:tr>
        <w:trPr/>
        <w:tc>
          <w:tcPr>
            <w:tcW w:w="50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0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7" w:type="dxa"/>
            <w:tcBorders/>
            <w:tcMar>
              <w:top w:w="0" w:type="dxa"/>
              <w:left w:w="0" w:type="dxa"/>
              <w:bottom w:w="0" w:type="dxa"/>
              <w:right w:w="0" w:type="dxa"/>
            </w:tcMar>
            <w:vAlign w:val="center"/>
          </w:tcPr>
          <w:p>
            <w:pPr>
              <w:pStyle w:val="TableContents"/>
              <w:bidi w:val="0"/>
              <w:spacing w:before="0" w:after="283"/>
              <w:jc w:val="left"/>
              <w:rPr/>
            </w:pPr>
            <w:r>
              <w:rPr/>
              <w:t> </w:t>
            </w:r>
          </w:p>
        </w:tc>
        <w:tc>
          <w:tcPr>
            <w:tcW w:w="2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hyperlink w:anchor="aeva-ex99_1.htm">
              <w:r>
                <w:rPr>
                  <w:rStyle w:val="InternetLink"/>
                  <w:rFonts w:ascii="Times New Roman" w:hAnsi="Times New Roman"/>
                  <w:color w:val="0000FF"/>
                  <w:sz w:val="20"/>
                  <w:u w:val="single"/>
                </w:rPr>
                <w:t>Press Release dated August 05, 2026</w:t>
              </w:r>
            </w:hyperlink>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79" w:type="dxa"/>
        <w:jc w:val="left"/>
        <w:tblInd w:w="0" w:type="dxa"/>
        <w:tblLayout w:type="fixed"/>
        <w:tblCellMar>
          <w:top w:w="28" w:type="dxa"/>
          <w:left w:w="28" w:type="dxa"/>
          <w:bottom w:w="28" w:type="dxa"/>
          <w:right w:w="28" w:type="dxa"/>
        </w:tblCellMar>
      </w:tblPr>
      <w:tblGrid>
        <w:gridCol w:w="556"/>
        <w:gridCol w:w="1456"/>
        <w:gridCol w:w="451"/>
        <w:gridCol w:w="211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Aeva Technologies,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05,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Saurabh Sinha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Saurabh Sinha</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eva-ex99_1.htm"/>
      <w:bookmarkStart w:id="3" w:name="ksaevaex99_1"/>
      <w:bookmarkEnd w:id="2"/>
      <w:bookmarkEnd w:id="3"/>
      <w:r>
        <w:rPr/>
        <w:t> </w:t>
      </w:r>
      <w:r>
        <w:br w:type="page"/>
      </w:r>
    </w:p>
    <w:p>
      <w:pPr>
        <w:pStyle w:val="TextBody"/>
        <w:bidi w:val="0"/>
        <w:jc w:val="right"/>
        <w:rPr>
          <w:rFonts w:ascii="sans-serif" w:hAnsi="sans-serif"/>
          <w:color w:val="000000"/>
          <w:sz w:val="22"/>
        </w:rPr>
      </w:pPr>
      <w:r>
        <w:rPr>
          <w:rFonts w:ascii="sans-serif" w:hAnsi="sans-serif"/>
          <w:color w:val="000000"/>
          <w:sz w:val="22"/>
        </w:rPr>
        <w:t>Exhibit 99.1</w:t>
      </w:r>
    </w:p>
    <w:p>
      <w:pPr>
        <w:pStyle w:val="TextBody"/>
        <w:bidi w:val="0"/>
        <w:jc w:val="center"/>
        <w:rPr/>
      </w:pPr>
      <w:r>
        <w:rPr/>
        <w:t> </w:t>
      </w:r>
    </w:p>
    <w:p>
      <w:pPr>
        <w:pStyle w:val="TextBody"/>
        <w:bidi w:val="0"/>
        <w:jc w:val="center"/>
        <w:rPr>
          <w:rFonts w:ascii="sans-serif" w:hAnsi="sans-serif"/>
          <w:b/>
          <w:color w:val="000000"/>
          <w:sz w:val="32"/>
        </w:rPr>
      </w:pPr>
      <w:r>
        <w:rPr>
          <w:rFonts w:ascii="sans-serif" w:hAnsi="sans-serif"/>
          <w:b/>
          <w:color w:val="000000"/>
          <w:sz w:val="32"/>
        </w:rPr>
        <w:t>Aeva Reports Second Quarter 2026 Results</w:t>
      </w:r>
    </w:p>
    <w:p>
      <w:pPr>
        <w:pStyle w:val="TextBody"/>
        <w:bidi w:val="0"/>
        <w:jc w:val="left"/>
        <w:rPr/>
      </w:pPr>
      <w:r>
        <w:rPr/>
        <w:t> </w:t>
      </w:r>
    </w:p>
    <w:p>
      <w:pPr>
        <w:pStyle w:val="TextBody"/>
        <w:bidi w:val="0"/>
        <w:jc w:val="center"/>
        <w:rPr>
          <w:rFonts w:ascii="sans-serif" w:hAnsi="sans-serif"/>
          <w:i/>
          <w:color w:val="000000"/>
          <w:sz w:val="23"/>
        </w:rPr>
      </w:pPr>
      <w:r>
        <w:rPr>
          <w:rFonts w:ascii="sans-serif" w:hAnsi="sans-serif"/>
          <w:i/>
          <w:color w:val="000000"/>
          <w:sz w:val="23"/>
        </w:rPr>
        <w:t>Launched Optical Connectivity Business with First Customer Agreement Signed for a Major Hyperscaler Deployment</w:t>
      </w:r>
    </w:p>
    <w:p>
      <w:pPr>
        <w:pStyle w:val="TextBody"/>
        <w:bidi w:val="0"/>
        <w:jc w:val="center"/>
        <w:rPr/>
      </w:pPr>
      <w:r>
        <w:rPr/>
        <w:t> </w:t>
      </w:r>
    </w:p>
    <w:p>
      <w:pPr>
        <w:pStyle w:val="TextBody"/>
        <w:bidi w:val="0"/>
        <w:jc w:val="center"/>
        <w:rPr>
          <w:rFonts w:ascii="sans-serif" w:hAnsi="sans-serif"/>
          <w:i/>
          <w:color w:val="000000"/>
          <w:sz w:val="23"/>
        </w:rPr>
      </w:pPr>
      <w:r>
        <w:rPr>
          <w:rFonts w:ascii="sans-serif" w:hAnsi="sans-serif"/>
          <w:i/>
          <w:color w:val="000000"/>
          <w:sz w:val="23"/>
        </w:rPr>
        <w:t>Continued Expansion in Automotive with Bendix Selecting Aeva to Develop the Next-gen of its Market-Leading Commercial Vehicle ADAS Solution</w:t>
      </w:r>
    </w:p>
    <w:p>
      <w:pPr>
        <w:pStyle w:val="TextBody"/>
        <w:bidi w:val="0"/>
        <w:jc w:val="center"/>
        <w:rPr/>
      </w:pPr>
      <w:r>
        <w:rPr/>
        <w:t> </w:t>
      </w:r>
    </w:p>
    <w:p>
      <w:pPr>
        <w:pStyle w:val="TextBody"/>
        <w:bidi w:val="0"/>
        <w:jc w:val="center"/>
        <w:rPr>
          <w:rFonts w:ascii="sans-serif" w:hAnsi="sans-serif"/>
          <w:i/>
          <w:color w:val="000000"/>
          <w:sz w:val="23"/>
        </w:rPr>
      </w:pPr>
      <w:r>
        <w:rPr>
          <w:rFonts w:ascii="sans-serif" w:hAnsi="sans-serif"/>
          <w:i/>
          <w:color w:val="000000"/>
          <w:sz w:val="23"/>
        </w:rPr>
        <w:t>SICK Launched its First Industrial Sensor Powered by Aeva’s Eve Precision Technology and Awarded Aeva 2026 Supplier of the Year for Innovation and Collaboration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1"/>
        </w:rPr>
        <w:t>MOUNTAIN VIEW, Calif., Aug. 5, 2026 –</w:t>
      </w:r>
      <w:r>
        <w:rPr>
          <w:rFonts w:ascii="Times New Roman" w:hAnsi="Times New Roman"/>
          <w:color w:val="000000"/>
          <w:sz w:val="20"/>
          <w:u w:val="single"/>
        </w:rPr>
        <w:t xml:space="preserve"> </w:t>
      </w:r>
      <w:r>
        <w:rPr>
          <w:rFonts w:ascii="sans-serif" w:hAnsi="sans-serif"/>
          <w:color w:val="0000FF"/>
          <w:sz w:val="21"/>
          <w:u w:val="single"/>
        </w:rPr>
        <w:t>Aeva</w:t>
      </w:r>
      <w:r>
        <w:rPr>
          <w:rFonts w:ascii="sans-serif" w:hAnsi="sans-serif"/>
          <w:color w:val="000000"/>
          <w:sz w:val="21"/>
        </w:rPr>
        <w:t>® (Nasdaq: AEVA), a leader in next-generation sensing and perception systems, today announced its second quarter 2026 results.</w:t>
      </w:r>
    </w:p>
    <w:p>
      <w:pPr>
        <w:pStyle w:val="TextBody"/>
        <w:bidi w:val="0"/>
        <w:jc w:val="left"/>
        <w:rPr>
          <w:rFonts w:ascii="sans-serif" w:hAnsi="sans-serif"/>
          <w:b/>
          <w:color w:val="000000"/>
          <w:sz w:val="21"/>
        </w:rPr>
      </w:pPr>
      <w:r>
        <w:rPr>
          <w:rFonts w:ascii="sans-serif" w:hAnsi="sans-serif"/>
          <w:b/>
          <w:color w:val="000000"/>
          <w:sz w:val="21"/>
        </w:rPr>
        <w:t>Key Company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 xml:space="preserve">Launched Optical Connectivity business, using Aeva’s proprietary high-power optical source technology for next-generation AI data centers.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Signed joint development agreement with major customer to use Aeva’s high-power optical source technology in a Near-Packaged Optics (NPO) solution for a hyperscaler with initial deployment targeted for second-half 2027 and production ramp targeted for 2028</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Commercial vehicle ADAS leader Bendix selected Aeva’s 4D LIDAR and perception software for development of the next generation of its ADAS solution available on most major Class 8 truck platforms in North America</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 xml:space="preserve">Continued to achieve milestones for key automotive programs, including Daimler Truck, top 10 European passenger OEM and NVIDIA DRIVE Hyperion, and advance on additional opportunities for passenger vehicle and commercial vehicle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SICK launched its first Eve powered sensor for industrial sensing applications as part of a strategic collaboration to scale Aeva’s technology across its product portfolio and also named Aeva its 2026 Supplier of the Year for Innovation and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 xml:space="preserve">Strengthened balance sheet with $115M follow-on offering to further position Aeva to accelerate growth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1"/>
        </w:rPr>
        <w:t>With the launch of Optical Connectivity, Aeva is expanding into another new market where we can leverage our proprietary photonics technology developed over the past decade to enable next-generation AI data centers,” said Soroush Salehian, Co-founder and CEO at Aeva. “It demonstrates how Aeva’s differentiated technology continues to open vast opportunities beyond traditional sensing, and we are off to a strong start with a first customer agreement already signed. Beyond this, we continue to make good progress on existing customers programs, securing additional opportunities across multiple markets and scaling manufacturing to meet the growing demand for Aeva’s technology.”</w:t>
      </w:r>
    </w:p>
    <w:p>
      <w:pPr>
        <w:pStyle w:val="TextBody"/>
        <w:bidi w:val="0"/>
        <w:jc w:val="left"/>
        <w:rPr/>
      </w:pPr>
      <w:r>
        <w:rPr/>
        <w:t> </w:t>
      </w:r>
    </w:p>
    <w:p>
      <w:pPr>
        <w:pStyle w:val="TextBody"/>
        <w:bidi w:val="0"/>
        <w:jc w:val="left"/>
        <w:rPr>
          <w:rFonts w:ascii="sans-serif" w:hAnsi="sans-serif"/>
          <w:b/>
          <w:color w:val="000000"/>
          <w:sz w:val="21"/>
        </w:rPr>
      </w:pPr>
      <w:r>
        <w:rPr>
          <w:rFonts w:ascii="sans-serif" w:hAnsi="sans-serif"/>
          <w:b/>
          <w:color w:val="000000"/>
          <w:sz w:val="21"/>
        </w:rPr>
        <w:t>Second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Total Available Liquidity</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Total available liquidity of $302.9 million as of June 30, 2026, consisting of $177.9 million in cash, cash equivalents and marketable securities and $125.0 million in an available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Revenue</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Revenue of $6.1 million in Q2 2026, compared to revenue of $5.5 million in Q2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GAAP and Non-GAAP Operating Loss*</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GAAP operating loss of $34.6 million in Q2 2026, compared to GAAP operating loss of $34.9 million in Q2 2025</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Non-GAAP operating loss of $26.0 million in Q2 2026, compared to non-GAAP operating loss of $25.1 million in Q2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GAAP and Non-GAAP Net Loss per Share*</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GAAP net loss per share of $1.23 in Q2 2026, compared to GAAP net loss per share of $3.49 in Q2 2025</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o</w:t>
      </w:r>
    </w:p>
    <w:p>
      <w:pPr>
        <w:pStyle w:val="TextBody"/>
        <w:bidi w:val="0"/>
        <w:spacing w:before="120" w:after="283"/>
        <w:jc w:val="left"/>
        <w:rPr>
          <w:rFonts w:ascii="sans-serif" w:hAnsi="sans-serif"/>
          <w:color w:val="000000"/>
          <w:sz w:val="21"/>
        </w:rPr>
      </w:pPr>
      <w:r>
        <w:rPr>
          <w:rFonts w:ascii="sans-serif" w:hAnsi="sans-serif"/>
          <w:color w:val="000000"/>
          <w:sz w:val="21"/>
        </w:rPr>
        <w:t>Non-GAAP net loss per share of $0.41 in Q2 2026, compared to non-GAAP net loss per share of $0.44 in Q2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Shares Outstanding</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o</w:t>
      </w:r>
    </w:p>
    <w:p>
      <w:pPr>
        <w:pStyle w:val="TextBody"/>
        <w:bidi w:val="0"/>
        <w:jc w:val="left"/>
        <w:rPr>
          <w:rFonts w:ascii="sans-serif" w:hAnsi="sans-serif"/>
          <w:color w:val="000000"/>
          <w:sz w:val="21"/>
        </w:rPr>
      </w:pPr>
      <w:r>
        <w:rPr>
          <w:rFonts w:ascii="sans-serif" w:hAnsi="sans-serif"/>
          <w:color w:val="000000"/>
          <w:sz w:val="21"/>
        </w:rPr>
        <w:t xml:space="preserve">Weighted average shares outstanding of 64.7 million in Q2 2026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1"/>
        </w:rPr>
        <w:t>*Tables reconciling GAAP to non-GAAP measures are provided at the end of this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1"/>
        </w:rPr>
      </w:pPr>
      <w:r>
        <w:rPr>
          <w:rFonts w:ascii="sans-serif" w:hAnsi="sans-serif"/>
          <w:b/>
          <w:color w:val="000000"/>
          <w:sz w:val="21"/>
        </w:rPr>
        <w:t>CFO Transition</w:t>
      </w:r>
    </w:p>
    <w:p>
      <w:pPr>
        <w:pStyle w:val="TextBody"/>
        <w:bidi w:val="0"/>
        <w:jc w:val="left"/>
        <w:rPr>
          <w:rFonts w:ascii="sans-serif" w:hAnsi="sans-serif"/>
          <w:color w:val="000000"/>
          <w:sz w:val="21"/>
        </w:rPr>
      </w:pPr>
      <w:r>
        <w:rPr>
          <w:rFonts w:ascii="sans-serif" w:hAnsi="sans-serif"/>
          <w:color w:val="000000"/>
          <w:sz w:val="21"/>
        </w:rPr>
        <w:t>Following six years of service with the company, CFO Saurabh Sinha will be moving on from Aeva to pursue a new opportunity outside of the sensing industry on September 5, 2026. The company has already initiated a search for a permanent successor and will announce the appointment once finalized.</w:t>
      </w:r>
    </w:p>
    <w:p>
      <w:pPr>
        <w:pStyle w:val="TextBody"/>
        <w:bidi w:val="0"/>
        <w:jc w:val="left"/>
        <w:rPr/>
      </w:pPr>
      <w:r>
        <w:rPr/>
        <w:t> </w:t>
      </w:r>
    </w:p>
    <w:p>
      <w:pPr>
        <w:pStyle w:val="TextBody"/>
        <w:bidi w:val="0"/>
        <w:jc w:val="left"/>
        <w:rPr>
          <w:rFonts w:ascii="sans-serif" w:hAnsi="sans-serif"/>
          <w:color w:val="000000"/>
          <w:sz w:val="21"/>
        </w:rPr>
      </w:pPr>
      <w:r>
        <w:rPr>
          <w:rFonts w:ascii="sans-serif" w:hAnsi="sans-serif"/>
          <w:color w:val="000000"/>
          <w:sz w:val="21"/>
        </w:rPr>
        <w:t>Rupesh Maheshwari, Aeva’s VP Corporate Controller will serve as Interim CFO following Mr. Sinha’s departure. Mr. Maheshwari, has served as the Company’s VP Corporate Controller, since joining the company in December 2025. He brings more than 20 years of finance leadership experience, having previously held leadership roles at Waabi, Covariant, Logitech and Fundbox. Mr. Sinha will work closely with Mr. Maheshwari to ensure a seamless transition during this period.</w:t>
      </w:r>
    </w:p>
    <w:p>
      <w:pPr>
        <w:pStyle w:val="TextBody"/>
        <w:bidi w:val="0"/>
        <w:jc w:val="left"/>
        <w:rPr/>
      </w:pPr>
      <w:r>
        <w:rPr/>
        <w:t> </w:t>
      </w:r>
    </w:p>
    <w:p>
      <w:pPr>
        <w:pStyle w:val="TextBody"/>
        <w:bidi w:val="0"/>
        <w:jc w:val="left"/>
        <w:rPr>
          <w:rFonts w:ascii="sans-serif" w:hAnsi="sans-serif"/>
          <w:b/>
          <w:color w:val="000000"/>
          <w:sz w:val="21"/>
        </w:rPr>
      </w:pPr>
      <w:r>
        <w:rPr>
          <w:rFonts w:ascii="sans-serif" w:hAnsi="sans-serif"/>
          <w:b/>
          <w:color w:val="000000"/>
          <w:sz w:val="21"/>
        </w:rPr>
        <w:t>Conference Call Details</w:t>
      </w:r>
    </w:p>
    <w:p>
      <w:pPr>
        <w:pStyle w:val="TextBody"/>
        <w:bidi w:val="0"/>
        <w:jc w:val="left"/>
        <w:rPr>
          <w:rFonts w:ascii="Times New Roman" w:hAnsi="Times New Roman"/>
          <w:sz w:val="20"/>
        </w:rPr>
      </w:pPr>
      <w:r>
        <w:rPr>
          <w:rFonts w:ascii="sans-serif" w:hAnsi="sans-serif"/>
          <w:color w:val="000000"/>
          <w:sz w:val="21"/>
        </w:rPr>
        <w:t xml:space="preserve">Aeva will host a conference call and live webcast to discuss results at 2:00 p.m. PT / 5:00 p.m. ET today, August 5, 2026. The live webcast and replay can be accessed at </w:t>
      </w:r>
      <w:r>
        <w:rPr>
          <w:rFonts w:ascii="sans-serif" w:hAnsi="sans-serif"/>
          <w:color w:val="1155CC"/>
          <w:sz w:val="21"/>
        </w:rPr>
        <w:t>investors.aeva.com</w:t>
      </w:r>
      <w:r>
        <w:rPr>
          <w:rFonts w:ascii="sans-serif" w:hAnsi="sans-serif"/>
          <w:color w:val="000000"/>
          <w:sz w:val="21"/>
        </w:rPr>
        <w:t>.</w:t>
      </w:r>
    </w:p>
    <w:p>
      <w:pPr>
        <w:pStyle w:val="TextBody"/>
        <w:bidi w:val="0"/>
        <w:jc w:val="left"/>
        <w:rPr>
          <w:rFonts w:ascii="sans-serif" w:hAnsi="sans-serif"/>
          <w:b/>
          <w:color w:val="000000"/>
          <w:sz w:val="21"/>
        </w:rPr>
      </w:pPr>
      <w:r>
        <w:rPr>
          <w:rFonts w:ascii="sans-serif" w:hAnsi="sans-serif"/>
          <w:b/>
          <w:color w:val="000000"/>
          <w:sz w:val="21"/>
        </w:rPr>
        <w:t>About Aeva Technologies, Inc. (Nasdaq: AEVA)</w:t>
      </w:r>
    </w:p>
    <w:p>
      <w:pPr>
        <w:pStyle w:val="TextBody"/>
        <w:bidi w:val="0"/>
        <w:jc w:val="left"/>
        <w:rPr>
          <w:rFonts w:ascii="Times New Roman" w:hAnsi="Times New Roman"/>
          <w:sz w:val="20"/>
        </w:rPr>
      </w:pPr>
      <w:r>
        <w:rPr>
          <w:rFonts w:ascii="sans-serif" w:hAnsi="sans-serif"/>
          <w:color w:val="000000"/>
          <w:sz w:val="21"/>
        </w:rPr>
        <w:t xml:space="preserve">Aeva’s mission is to bring the next wave of perception to a broad range of applications from automated driving, manufacturing automation and smart infrastructure, to robotics and consumer devices. Aeva is accelerating autonomy with its groundbreaking perception platform that integrates lidar-on-chip technology, system-on-chip processing, and perception algorithms onto silicon leveraging silicon photonics. Aeva 4D LiDAR sensors uniquely detect velocity and position simultaneously, allowing automated devices like vehicles and robots to make more intelligent and safe decisions. For more information, visit </w:t>
      </w:r>
      <w:r>
        <w:rPr>
          <w:rFonts w:ascii="sans-serif" w:hAnsi="sans-serif"/>
          <w:color w:val="0000FF"/>
          <w:sz w:val="21"/>
          <w:u w:val="single"/>
        </w:rPr>
        <w:t>www.aeva.com</w:t>
      </w:r>
      <w:r>
        <w:rPr>
          <w:rFonts w:ascii="sans-serif" w:hAnsi="sans-serif"/>
          <w:color w:val="000000"/>
          <w:sz w:val="21"/>
        </w:rPr>
        <w:t xml:space="preserve">, or connect with us on </w:t>
      </w:r>
      <w:r>
        <w:rPr>
          <w:rFonts w:ascii="sans-serif" w:hAnsi="sans-serif"/>
          <w:color w:val="0000FF"/>
          <w:sz w:val="21"/>
          <w:u w:val="single"/>
        </w:rPr>
        <w:t>X</w:t>
      </w:r>
      <w:r>
        <w:rPr>
          <w:rFonts w:ascii="sans-serif" w:hAnsi="sans-serif"/>
          <w:color w:val="000000"/>
          <w:sz w:val="21"/>
        </w:rPr>
        <w:t xml:space="preserve">or </w:t>
      </w:r>
      <w:r>
        <w:rPr>
          <w:rFonts w:ascii="sans-serif" w:hAnsi="sans-serif"/>
          <w:color w:val="0000FF"/>
          <w:sz w:val="21"/>
          <w:u w:val="single"/>
        </w:rPr>
        <w:t>LinkedIn</w:t>
      </w:r>
      <w:r>
        <w:rPr>
          <w:rFonts w:ascii="sans-serif" w:hAnsi="sans-serif"/>
          <w:color w:val="000000"/>
          <w:sz w:val="21"/>
        </w:rPr>
        <w:t>.</w:t>
      </w:r>
    </w:p>
    <w:p>
      <w:pPr>
        <w:pStyle w:val="TextBody"/>
        <w:bidi w:val="0"/>
        <w:jc w:val="left"/>
        <w:rPr/>
      </w:pPr>
      <w:r>
        <w:rPr/>
        <w:t> </w:t>
      </w:r>
    </w:p>
    <w:p>
      <w:pPr>
        <w:pStyle w:val="TextBody"/>
        <w:bidi w:val="0"/>
        <w:jc w:val="left"/>
        <w:rPr>
          <w:rFonts w:ascii="sans-serif" w:hAnsi="sans-serif"/>
          <w:i/>
          <w:color w:val="000000"/>
          <w:sz w:val="21"/>
        </w:rPr>
      </w:pPr>
      <w:r>
        <w:rPr>
          <w:rFonts w:ascii="sans-serif" w:hAnsi="sans-serif"/>
          <w:i/>
          <w:color w:val="000000"/>
          <w:sz w:val="21"/>
        </w:rPr>
        <w:t>Aeva, the Aeva logo, Aeva 4D LiDAR, Aeva Atlas, Aeries, Aeva Eve, Aeva Omni, Aeva CityOS, Aeva Ultra Resolution, Aeva CoreVision, and Aeva X1 are trademarks/registered trademarks of Aeva, Inc. All rights reserved. Third-party trademarks are the property of their respective owners.</w:t>
      </w:r>
    </w:p>
    <w:p>
      <w:pPr>
        <w:pStyle w:val="TextBody"/>
        <w:bidi w:val="0"/>
        <w:jc w:val="left"/>
        <w:rPr>
          <w:rFonts w:ascii="sans-serif" w:hAnsi="sans-serif"/>
          <w:b/>
          <w:color w:val="000000"/>
          <w:sz w:val="21"/>
        </w:rPr>
      </w:pPr>
      <w:r>
        <w:rPr>
          <w:rFonts w:ascii="sans-serif" w:hAnsi="sans-serif"/>
          <w:b/>
          <w:color w:val="000000"/>
          <w:sz w:val="21"/>
        </w:rPr>
        <w:t>Forward looking statements</w:t>
      </w:r>
    </w:p>
    <w:p>
      <w:pPr>
        <w:pStyle w:val="TextBody"/>
        <w:bidi w:val="0"/>
        <w:jc w:val="left"/>
        <w:rPr>
          <w:rFonts w:ascii="Times New Roman" w:hAnsi="Times New Roman"/>
          <w:sz w:val="20"/>
        </w:rPr>
      </w:pPr>
      <w:r>
        <w:rPr>
          <w:rFonts w:ascii="sans-serif" w:hAnsi="sans-serif"/>
          <w:color w:val="000000"/>
          <w:sz w:val="21"/>
        </w:rPr>
        <w:t>This press release contains certain forward-looking statements within the meaning of the federal securities laws. Forward-looking statements generally are identified by the words “believe,” “project,” “expect,” “anticipate,” “estimate,” “intend,” “strategy,” “future,” “opportunity,” “plan,” “may,” “should,” “will,” “would,” “will be,” “will continue,” “will likely result,” and similar expressions. These forward-looking statements include, but are not limited to expectations about product development, product features, performance, the timing of production, and market adoption.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fact that Aeva is an early stage company with a history of operating losses and may never achieve profitability, (ii) Aeva’s limited operating history, (iii) Aeva’s ability to implement business plans, forecasts, and other expectations and to identify and realize additional opportunities, (iv) the timing of any orders for the Company’s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1"/>
        </w:rPr>
      </w:pPr>
      <w:r>
        <w:rPr>
          <w:rFonts w:ascii="sans-serif" w:hAnsi="sans-serif"/>
          <w:color w:val="000000"/>
          <w:sz w:val="21"/>
        </w:rPr>
        <w:t>solutions, which will not be under our control, (v) the risk that automotive OEMs may not pursue or adopt the platform as currently anticipated, if at all, (vi) the risk that markets will not accept products of automotive OEMs or of manufacturers in other industries that use our technologies, (vii) the risk that additional markets will not be receptive to Aeva’s technology, (viii) the risk that new customer contracts will not result in commercial scale shipments, (ix) supply chain and manufacturing issues, (x) unforeseen errors or defects, (xi) market acceptance of LiDAR technology and autonomous driving, (xii) general economic conditions, including tariffs, and other material risks and other important factors that could affect our financial results. Please refer to our filings with the SEC, including our most recent Quarterly Reports on Form 10-Q and our most recent Annual Report on Form 10-K.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Aeva assumes no obligation and does not intend to update or revise these forward-looking statements, whether as a result of new information, future events, or otherwise. Aeva does not give any assurance that it will achieve its expectations.</w:t>
      </w:r>
    </w:p>
    <w:p>
      <w:pPr>
        <w:pStyle w:val="TextBody"/>
        <w:bidi w:val="0"/>
        <w:jc w:val="left"/>
        <w:rPr/>
      </w:pPr>
      <w:r>
        <w:rPr/>
        <w:t> </w:t>
      </w:r>
    </w:p>
    <w:p>
      <w:pPr>
        <w:pStyle w:val="TextBody"/>
        <w:bidi w:val="0"/>
        <w:jc w:val="left"/>
        <w:rPr>
          <w:rFonts w:ascii="sans-serif" w:hAnsi="sans-serif"/>
          <w:b/>
          <w:color w:val="000000"/>
          <w:sz w:val="21"/>
        </w:rPr>
      </w:pPr>
      <w:r>
        <w:rPr>
          <w:rFonts w:ascii="sans-serif" w:hAnsi="sans-serif"/>
          <w:b/>
          <w:color w:val="000000"/>
          <w:sz w:val="21"/>
        </w:rPr>
        <w:t>Non-GAAP Information</w:t>
      </w:r>
    </w:p>
    <w:p>
      <w:pPr>
        <w:pStyle w:val="TextBody"/>
        <w:bidi w:val="0"/>
        <w:jc w:val="left"/>
        <w:rPr>
          <w:rFonts w:ascii="sans-serif" w:hAnsi="sans-serif"/>
          <w:color w:val="000000"/>
          <w:sz w:val="21"/>
        </w:rPr>
      </w:pPr>
      <w:r>
        <w:rPr>
          <w:rFonts w:ascii="sans-serif" w:hAnsi="sans-serif"/>
          <w:color w:val="000000"/>
          <w:sz w:val="21"/>
        </w:rPr>
        <w:t>In addition to our financial results determined in accordance with U.S. GAAP, we present non-GAAP operating loss and non-GAAP net loss per share. “Non-GAAP operating loss” is defined as GAAP operating loss before stock-based compensation and loss on joint development agreement. “Non-GAAP net loss per share” is defined as non-GAAP net loss divided by weighted average shares outstanding, basic and diluted. “Non-GAAP net loss” is defined as GAAP net loss before stock-based compensation, loss on joint development agreement, change in fair value of warrant liabilities and fair value loss on share subscription liability.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1"/>
        </w:rPr>
        <w:t>We believe that non-GAAP operating loss and non-GAAP net loss per share, when taken together with the corresponding U.S. GAAP financial measures, provide meaningful supplemental information regarding our performance by excluding certain items that may not be indicative of our core business, results of operations, or outlook. We consider non-GAAP operating loss and non-GAAP net loss per share to be important measures because they help illustrate underlying trends in our business and our historical operating performance on a more consistent basis.</w:t>
      </w:r>
      <w:r>
        <w:rPr>
          <w:rFonts w:ascii="Times New Roman" w:hAnsi="Times New Roman"/>
          <w:color w:val="000000"/>
          <w:sz w:val="20"/>
        </w:rPr>
        <w:t xml:space="preserve"> </w:t>
      </w:r>
    </w:p>
    <w:p>
      <w:pPr>
        <w:pStyle w:val="TextBody"/>
        <w:bidi w:val="0"/>
        <w:jc w:val="left"/>
        <w:rPr>
          <w:rFonts w:ascii="sans-serif" w:hAnsi="sans-serif"/>
          <w:color w:val="000000"/>
          <w:sz w:val="21"/>
        </w:rPr>
      </w:pPr>
      <w:r>
        <w:rPr>
          <w:rFonts w:ascii="sans-serif" w:hAnsi="sans-serif"/>
          <w:color w:val="000000"/>
          <w:sz w:val="21"/>
        </w:rPr>
        <w:t>However, non-GAAP financial information is presented for supplemental informational purposes only, has limitations as an analytical tool, and should not be considered in isolation or as a substitute for financial information presented in accordance with U.S. GAAP. Non-GAAP financial measures have limitations, including that they exclude certain expenses that are required under GAAP, which adjustments reflect the exercise of judgment by management. In addition, other companies, including companies in our industry, may calculate similarly-titled non-GAAP financial measures or ratios differently or may use other financial measures or ratios to evaluate their performance, all of which could reduce the usefulness of non-GAAP operating loss and non-GAAP net loss per share as tools for comparison. Reconciliations are provided at the end of this release to the most directly comparable financial measures in accordance with U.S. GAAP. Investors are encouraged to review our U.S. GAAP financial measures and not to rely on any single financial measure to evaluate our business.</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1"/>
        </w:rPr>
      </w:pPr>
      <w:r>
        <w:rPr>
          <w:rFonts w:ascii="sans-serif" w:hAnsi="sans-serif"/>
          <w:b/>
          <w:color w:val="000000"/>
          <w:sz w:val="21"/>
        </w:rPr>
        <w:t>Contacts</w:t>
      </w:r>
    </w:p>
    <w:p>
      <w:pPr>
        <w:pStyle w:val="TextBody"/>
        <w:bidi w:val="0"/>
        <w:jc w:val="left"/>
        <w:rPr>
          <w:rFonts w:ascii="sans-serif" w:hAnsi="sans-serif"/>
          <w:color w:val="000000"/>
          <w:sz w:val="21"/>
        </w:rPr>
      </w:pPr>
      <w:r>
        <w:rPr>
          <w:rFonts w:ascii="sans-serif" w:hAnsi="sans-serif"/>
          <w:color w:val="000000"/>
          <w:sz w:val="21"/>
        </w:rPr>
        <w:t>Media:</w:t>
      </w:r>
    </w:p>
    <w:p>
      <w:pPr>
        <w:pStyle w:val="TextBody"/>
        <w:bidi w:val="0"/>
        <w:jc w:val="left"/>
        <w:rPr>
          <w:rFonts w:ascii="sans-serif" w:hAnsi="sans-serif"/>
          <w:color w:val="000000"/>
          <w:sz w:val="21"/>
        </w:rPr>
      </w:pPr>
      <w:r>
        <w:rPr>
          <w:rFonts w:ascii="sans-serif" w:hAnsi="sans-serif"/>
          <w:color w:val="000000"/>
          <w:sz w:val="21"/>
        </w:rPr>
        <w:t>Michelle Chang</w:t>
      </w:r>
    </w:p>
    <w:p>
      <w:pPr>
        <w:pStyle w:val="TextBody"/>
        <w:bidi w:val="0"/>
        <w:jc w:val="left"/>
        <w:rPr>
          <w:rFonts w:ascii="sans-serif" w:hAnsi="sans-serif"/>
          <w:color w:val="1155CC"/>
          <w:sz w:val="21"/>
        </w:rPr>
      </w:pPr>
      <w:r>
        <w:rPr>
          <w:rFonts w:ascii="sans-serif" w:hAnsi="sans-serif"/>
          <w:color w:val="1155CC"/>
          <w:sz w:val="21"/>
        </w:rPr>
        <w:t>press@aeva.ai</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1"/>
        </w:rPr>
      </w:pPr>
      <w:r>
        <w:rPr>
          <w:rFonts w:ascii="sans-serif" w:hAnsi="sans-serif"/>
          <w:color w:val="000000"/>
          <w:sz w:val="21"/>
        </w:rPr>
        <w:t>Investors:</w:t>
      </w:r>
    </w:p>
    <w:p>
      <w:pPr>
        <w:pStyle w:val="TextBody"/>
        <w:bidi w:val="0"/>
        <w:jc w:val="left"/>
        <w:rPr>
          <w:rFonts w:ascii="sans-serif" w:hAnsi="sans-serif"/>
          <w:color w:val="000000"/>
          <w:sz w:val="21"/>
        </w:rPr>
      </w:pPr>
      <w:r>
        <w:rPr>
          <w:rFonts w:ascii="sans-serif" w:hAnsi="sans-serif"/>
          <w:color w:val="000000"/>
          <w:sz w:val="21"/>
        </w:rPr>
        <w:t>Andrew Fung</w:t>
      </w:r>
    </w:p>
    <w:p>
      <w:pPr>
        <w:pStyle w:val="TextBody"/>
        <w:bidi w:val="0"/>
        <w:jc w:val="left"/>
        <w:rPr>
          <w:rFonts w:ascii="sans-serif" w:hAnsi="sans-serif"/>
          <w:color w:val="1155CC"/>
          <w:sz w:val="21"/>
        </w:rPr>
      </w:pPr>
      <w:r>
        <w:rPr>
          <w:rFonts w:ascii="sans-serif" w:hAnsi="sans-serif"/>
          <w:color w:val="1155CC"/>
          <w:sz w:val="21"/>
        </w:rPr>
        <w:t>investors@aeva.ai</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4636"/>
        <w:gridCol w:w="146"/>
        <w:gridCol w:w="256"/>
        <w:gridCol w:w="1171"/>
        <w:gridCol w:w="196"/>
        <w:gridCol w:w="146"/>
        <w:gridCol w:w="331"/>
        <w:gridCol w:w="1514"/>
        <w:gridCol w:w="7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AEVA TECHNOLOGIES, INC.</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Condensed Consolidated Balance Sheets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June 30,</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43,235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72,291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134,654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22,476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2"/>
              </w:rPr>
            </w:pPr>
            <w:r>
              <w:rPr>
                <w:rFonts w:ascii="sans-serif" w:hAnsi="sans-serif"/>
                <w:color w:val="000000"/>
                <w:sz w:val="22"/>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203,700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153,525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5,480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12,845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6,437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227,794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179,701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Accrued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13,945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2"/>
              </w:rPr>
            </w:pPr>
            <w:r>
              <w:rPr>
                <w:rFonts w:ascii="sans-serif" w:hAnsi="sans-serif"/>
                <w:color w:val="000000"/>
                <w:sz w:val="22"/>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25,963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35,869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liability,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4,213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96,896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96,693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73,961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29,711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200,264</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166,486</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899,503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770,502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(871,892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(757,289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27,530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227,794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179,701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817" w:type="dxa"/>
        <w:jc w:val="left"/>
        <w:tblInd w:w="0" w:type="dxa"/>
        <w:tblLayout w:type="fixed"/>
        <w:tblCellMar>
          <w:top w:w="28" w:type="dxa"/>
          <w:left w:w="28" w:type="dxa"/>
          <w:bottom w:w="28" w:type="dxa"/>
          <w:right w:w="28" w:type="dxa"/>
        </w:tblCellMar>
      </w:tblPr>
      <w:tblGrid>
        <w:gridCol w:w="3006"/>
        <w:gridCol w:w="946"/>
        <w:gridCol w:w="256"/>
        <w:gridCol w:w="1456"/>
        <w:gridCol w:w="196"/>
        <w:gridCol w:w="146"/>
        <w:gridCol w:w="256"/>
        <w:gridCol w:w="1456"/>
        <w:gridCol w:w="196"/>
        <w:gridCol w:w="146"/>
        <w:gridCol w:w="256"/>
        <w:gridCol w:w="1456"/>
        <w:gridCol w:w="196"/>
        <w:gridCol w:w="146"/>
        <w:gridCol w:w="256"/>
        <w:gridCol w:w="1456"/>
        <w:gridCol w:w="991"/>
      </w:tblGrid>
      <w:tr>
        <w:trPr/>
        <w:tc>
          <w:tcPr>
            <w:tcW w:w="30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182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AEVA TECHNOLOGIES, INC.</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2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Condensed Consolidated Statements of Operations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2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2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 except share and per share data)</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Product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6,684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Professional service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2,195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12,398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8,879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Product </w:t>
            </w:r>
            <w:r>
              <w:rPr>
                <w:rFonts w:ascii="sans-serif" w:hAnsi="sans-serif"/>
                <w:color w:val="000000"/>
                <w:sz w:val="15"/>
              </w:rPr>
              <w:t>(1)</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6,575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Professional service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4,714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cost of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3,947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11,289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Gross profit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(2,410</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Research and development expenses</w:t>
            </w:r>
            <w:r>
              <w:rPr>
                <w:rFonts w:ascii="Times New Roman" w:hAnsi="Times New Roman"/>
                <w:color w:val="000000"/>
                <w:sz w:val="22"/>
              </w:rPr>
              <w:t>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22,841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44,410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General and administrative expenses</w:t>
            </w:r>
            <w:r>
              <w:rPr>
                <w:rFonts w:ascii="Times New Roman" w:hAnsi="Times New Roman"/>
                <w:color w:val="000000"/>
                <w:sz w:val="22"/>
              </w:rPr>
              <w:t> </w:t>
            </w:r>
            <w:r>
              <w:rPr>
                <w:rFonts w:ascii="sans-serif" w:hAnsi="sans-serif"/>
                <w:color w:val="000000"/>
                <w:sz w:val="15"/>
              </w:rPr>
              <w:t>(1)</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22,568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 xml:space="preserve">Selling and marketing expenses </w:t>
            </w:r>
            <w:r>
              <w:rPr>
                <w:rFonts w:ascii="sans-serif" w:hAnsi="sans-serif"/>
                <w:color w:val="000000"/>
                <w:sz w:val="15"/>
              </w:rPr>
              <w:t>(1)</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1,644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3,335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Total operating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36,749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73,826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62,931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from operation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(34,560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(69,696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(65,341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income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(44,700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(88,478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(93,878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Fair value loss on share subscription liability</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(69,996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(69,996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expense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income, net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before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(79,566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(192,672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(114,513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(227,482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provision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Net loss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(79,624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(192,742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(114,603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(227,609</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Net loss per share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Basic and diluted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Weighted-average shares used in computing net loss per share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2"/>
              </w:rPr>
            </w:pPr>
            <w:r>
              <w:rPr>
                <w:rFonts w:ascii="sans-serif" w:hAnsi="sans-serif"/>
                <w:color w:val="000000"/>
                <w:sz w:val="22"/>
              </w:rPr>
              <w:t>Basic and diluted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64,672,666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55,161,124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63,745,534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54,956,722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15"/>
              </w:rPr>
              <w:t>(1)</w:t>
            </w:r>
            <w:r>
              <w:rPr>
                <w:rFonts w:ascii="Times New Roman" w:hAnsi="Times New Roman"/>
                <w:color w:val="000000"/>
                <w:sz w:val="22"/>
              </w:rPr>
              <w:t> </w:t>
            </w:r>
            <w:r>
              <w:rPr>
                <w:rFonts w:ascii="sans-serif" w:hAnsi="sans-serif"/>
                <w:color w:val="000000"/>
                <w:sz w:val="22"/>
              </w:rPr>
              <w:t>Includes stock-based compensation as follows: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Research and development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6,411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General and administrative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3,725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Selling and marketing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stock-based compensation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10,588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AEVA TECHNOLOGIES,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
        <w:gridCol w:w="5921"/>
        <w:gridCol w:w="146"/>
        <w:gridCol w:w="267"/>
        <w:gridCol w:w="1222"/>
        <w:gridCol w:w="204"/>
        <w:gridCol w:w="152"/>
        <w:gridCol w:w="267"/>
        <w:gridCol w:w="1222"/>
        <w:gridCol w:w="243"/>
      </w:tblGrid>
      <w:tr>
        <w:trPr/>
        <w:tc>
          <w:tcPr>
            <w:tcW w:w="561" w:type="dxa"/>
            <w:tcBorders/>
            <w:vAlign w:val="center"/>
          </w:tcPr>
          <w:p>
            <w:pPr>
              <w:pStyle w:val="TableContents"/>
              <w:bidi w:val="0"/>
              <w:spacing w:before="0" w:after="283"/>
              <w:jc w:val="left"/>
              <w:rPr>
                <w:sz w:val="4"/>
                <w:szCs w:val="4"/>
              </w:rPr>
            </w:pPr>
            <w:r>
              <w:rPr>
                <w:sz w:val="4"/>
                <w:szCs w:val="4"/>
              </w:rPr>
            </w:r>
          </w:p>
        </w:tc>
        <w:tc>
          <w:tcPr>
            <w:tcW w:w="5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(114,603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(227,609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2,716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Loss on joint development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Impairment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Issuance of shares for Convertible note interest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44,250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93,878</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Fair value loss on 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69,996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17,878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10,588</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1,830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 premium and accretion of discount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Accretion of convertible notes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(2,709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(1,448</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2,849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1,992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(2,580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(2,940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(3,337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(1,932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(5,820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1,472</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(57,015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(60,616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(1,825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Purchase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(148,072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(23,369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63,966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79,149</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(86,516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53,955</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issuance of common stock in connection with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114,999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Transaction costs related to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(5,750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equity-related funding in connection with the JDA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5,500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Payments of taxes withheld on net settled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Transaction costs related to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114,475</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(460</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(29,056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(7,121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Beginning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72,291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28,864</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Ending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43,235</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21,743</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AEVA TECHNOLOGIES, INC.</w:t>
      </w:r>
    </w:p>
    <w:p>
      <w:pPr>
        <w:pStyle w:val="TextBody"/>
        <w:bidi w:val="0"/>
        <w:jc w:val="center"/>
        <w:rPr>
          <w:rFonts w:ascii="sans-serif" w:hAnsi="sans-serif"/>
          <w:b/>
          <w:color w:val="000000"/>
          <w:sz w:val="22"/>
        </w:rPr>
      </w:pPr>
      <w:r>
        <w:rPr>
          <w:rFonts w:ascii="sans-serif" w:hAnsi="sans-serif"/>
          <w:b/>
          <w:color w:val="000000"/>
          <w:sz w:val="22"/>
        </w:rPr>
        <w:t>Reconciliation of GAAP to Non-GAAP Operating Results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3"/>
        <w:gridCol w:w="146"/>
        <w:gridCol w:w="256"/>
        <w:gridCol w:w="1456"/>
        <w:gridCol w:w="196"/>
        <w:gridCol w:w="146"/>
        <w:gridCol w:w="256"/>
        <w:gridCol w:w="1456"/>
        <w:gridCol w:w="196"/>
        <w:gridCol w:w="146"/>
        <w:gridCol w:w="256"/>
        <w:gridCol w:w="1456"/>
        <w:gridCol w:w="196"/>
        <w:gridCol w:w="146"/>
        <w:gridCol w:w="256"/>
        <w:gridCol w:w="1456"/>
        <w:gridCol w:w="242"/>
      </w:tblGrid>
      <w:tr>
        <w:trPr/>
        <w:tc>
          <w:tcPr>
            <w:tcW w:w="1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from GAAP to 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(34,560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(69,696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(65,341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10,588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on joint development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3,785</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(26,047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(51,818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(50,968</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from GAAP to 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(79,624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(192,742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(114,603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(227,609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10,588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on joint development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88,478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44,250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93,878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Fair value loss on share subscription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69,996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69,996</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(26,411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(24,459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(52,475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(49,362</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Reconciliation between GAAP and non-GAAP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 June 30,</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Shares used in computing GAAP net loss per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64,672,666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55,161,124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63,745,534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54,956,722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GAAP net loss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4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Stock-based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0.13</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0.11</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0.29</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0.19</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on joint development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Fair value loss on 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(0.90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3541</Words>
  <Characters>19705</Characters>
  <CharactersWithSpaces>23855</CharactersWithSpaces>
  <Paragraphs>2044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