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3, 2026</w:t>
      </w:r>
    </w:p>
    <w:p>
      <w:pPr>
        <w:spacing w:after="0" w:line="27"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852805</wp:posOffset>
            </wp:positionH>
            <wp:positionV relativeFrom="paragraph">
              <wp:posOffset>60960</wp:posOffset>
            </wp:positionV>
            <wp:extent cx="54622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94615</wp:posOffset>
            </wp:positionV>
            <wp:extent cx="54622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pacing w:after="0" w:line="16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118745</wp:posOffset>
            </wp:positionV>
            <wp:extent cx="11512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4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125095</wp:posOffset>
            </wp:positionV>
            <wp:extent cx="11512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AEVA TECHNOLOGIES, INC.</w:t>
      </w:r>
    </w:p>
    <w:p>
      <w:pPr>
        <w:spacing w:after="0" w:line="4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117475</wp:posOffset>
            </wp:positionV>
            <wp:extent cx="11512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p>
      <w:pPr>
        <w:spacing w:after="0" w:line="309"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84-3080757</w:t>
      </w:r>
    </w:p>
    <w:p>
      <w:pPr>
        <w:spacing w:after="0" w:line="17" w:lineRule="exact"/>
        <w:rPr>
          <w:sz w:val="24"/>
          <w:szCs w:val="24"/>
          <w:color w:val="auto"/>
        </w:rPr>
      </w:pPr>
    </w:p>
    <w:p>
      <w:pPr>
        <w:sectPr>
          <w:pgSz w:w="11900" w:h="16838" w:orient="portrait"/>
          <w:cols w:equalWidth="0" w:num="2">
            <w:col w:w="6840" w:space="720"/>
            <w:col w:w="2599"/>
          </w:cols>
          <w:pgMar w:left="300" w:top="207" w:right="1440" w:bottom="1440" w:gutter="0" w:footer="0" w:header="0"/>
          <w:type w:val="continuous"/>
        </w:sectPr>
      </w:pPr>
    </w:p>
    <w:p>
      <w:pPr>
        <w:ind w:left="282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78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3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739"/>
        <w:spacing w:after="0"/>
        <w:rPr>
          <w:sz w:val="20"/>
          <w:szCs w:val="20"/>
          <w:color w:val="auto"/>
        </w:rPr>
      </w:pPr>
      <w:r>
        <w:rPr>
          <w:rFonts w:ascii="Times New Roman" w:cs="Times New Roman" w:eastAsia="Times New Roman" w:hAnsi="Times New Roman"/>
          <w:sz w:val="11"/>
          <w:szCs w:val="11"/>
          <w:b w:val="1"/>
          <w:bCs w:val="1"/>
          <w:color w:val="auto"/>
        </w:rPr>
        <w:t>Identification Number)</w:t>
      </w:r>
    </w:p>
    <w:p>
      <w:pPr>
        <w:spacing w:after="0" w:line="1" w:lineRule="exact"/>
        <w:rPr>
          <w:sz w:val="24"/>
          <w:szCs w:val="24"/>
          <w:color w:val="auto"/>
        </w:rPr>
      </w:pPr>
    </w:p>
    <w:p>
      <w:pPr>
        <w:sectPr>
          <w:pgSz w:w="11900" w:h="16838" w:orient="portrait"/>
          <w:cols w:equalWidth="0" w:num="2">
            <w:col w:w="6580" w:space="720"/>
            <w:col w:w="2859"/>
          </w:cols>
          <w:pgMar w:left="300" w:top="207" w:right="1440" w:bottom="1440" w:gutter="0" w:footer="0" w:header="0"/>
          <w:type w:val="continuous"/>
        </w:sect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555 Ellis Street</w:t>
      </w: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Mountain View, CA 94043</w:t>
      </w:r>
    </w:p>
    <w:p>
      <w:pPr>
        <w:spacing w:after="0" w:line="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(650) 481-7070</w:t>
      </w:r>
    </w:p>
    <w:p>
      <w:pPr>
        <w:sectPr>
          <w:pgSz w:w="11900" w:h="16838" w:orient="portrait"/>
          <w:cols w:equalWidth="0" w:num="1">
            <w:col w:w="10159"/>
          </w:cols>
          <w:pgMar w:left="300" w:top="207" w:right="1440" w:bottom="1440" w:gutter="0" w:footer="0" w:header="0"/>
          <w:type w:val="continuous"/>
        </w:sectPr>
      </w:pP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109855</wp:posOffset>
            </wp:positionV>
            <wp:extent cx="11512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Soroush Salehian Dardashti</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Aeva Technologies,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555 Ellis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Mountain View, CA 94043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(650) 481-7070</w:t>
      </w:r>
    </w:p>
    <w:p>
      <w:pPr>
        <w:spacing w:after="0" w:line="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110490</wp:posOffset>
            </wp:positionV>
            <wp:extent cx="11512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6" w:lineRule="exact"/>
        <w:rPr>
          <w:sz w:val="24"/>
          <w:szCs w:val="24"/>
          <w:color w:val="auto"/>
        </w:rPr>
      </w:pPr>
    </w:p>
    <w:tbl>
      <w:tblPr>
        <w:tblLayout w:type="fixed"/>
        <w:tblInd w:w="280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4100" w:type="dxa"/>
            <w:vAlign w:val="bottom"/>
          </w:tcPr>
          <w:p>
            <w:pPr>
              <w:ind w:left="58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339"/>
        </w:trPr>
        <w:tc>
          <w:tcPr>
            <w:tcW w:w="2000" w:type="dxa"/>
            <w:vAlign w:val="bottom"/>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6"/>
              </w:rPr>
              <w:t>Saurabh Sinha</w:t>
            </w:r>
          </w:p>
        </w:tc>
        <w:tc>
          <w:tcPr>
            <w:tcW w:w="410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6"/>
              </w:rPr>
              <w:t>Jeffrey R. Vetter</w:t>
            </w:r>
          </w:p>
        </w:tc>
      </w:tr>
      <w:tr>
        <w:trPr>
          <w:trHeight w:val="158"/>
        </w:trPr>
        <w:tc>
          <w:tcPr>
            <w:tcW w:w="200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7"/>
              </w:rPr>
              <w:t>Chief Financial Officer</w:t>
            </w:r>
          </w:p>
        </w:tc>
        <w:tc>
          <w:tcPr>
            <w:tcW w:w="4100" w:type="dxa"/>
            <w:vAlign w:val="bottom"/>
          </w:tcPr>
          <w:p>
            <w:pPr>
              <w:jc w:val="center"/>
              <w:ind w:left="1957"/>
              <w:spacing w:after="0"/>
              <w:rPr>
                <w:sz w:val="20"/>
                <w:szCs w:val="20"/>
                <w:color w:val="auto"/>
              </w:rPr>
            </w:pPr>
            <w:r>
              <w:rPr>
                <w:rFonts w:ascii="Times New Roman" w:cs="Times New Roman" w:eastAsia="Times New Roman" w:hAnsi="Times New Roman"/>
                <w:sz w:val="13"/>
                <w:szCs w:val="13"/>
                <w:b w:val="1"/>
                <w:bCs w:val="1"/>
                <w:color w:val="auto"/>
                <w:w w:val="97"/>
              </w:rPr>
              <w:t>Daniel A. Reichert</w:t>
            </w:r>
          </w:p>
        </w:tc>
      </w:tr>
      <w:tr>
        <w:trPr>
          <w:trHeight w:val="158"/>
        </w:trPr>
        <w:tc>
          <w:tcPr>
            <w:tcW w:w="200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5"/>
              </w:rPr>
              <w:t>Aeva Technologies, Inc.</w:t>
            </w:r>
          </w:p>
        </w:tc>
        <w:tc>
          <w:tcPr>
            <w:tcW w:w="4100" w:type="dxa"/>
            <w:vAlign w:val="bottom"/>
          </w:tcPr>
          <w:p>
            <w:pPr>
              <w:jc w:val="center"/>
              <w:ind w:left="1957"/>
              <w:spacing w:after="0"/>
              <w:rPr>
                <w:sz w:val="20"/>
                <w:szCs w:val="20"/>
                <w:color w:val="auto"/>
              </w:rPr>
            </w:pPr>
            <w:r>
              <w:rPr>
                <w:rFonts w:ascii="Times New Roman" w:cs="Times New Roman" w:eastAsia="Times New Roman" w:hAnsi="Times New Roman"/>
                <w:sz w:val="13"/>
                <w:szCs w:val="13"/>
                <w:b w:val="1"/>
                <w:bCs w:val="1"/>
                <w:color w:val="auto"/>
                <w:w w:val="96"/>
              </w:rPr>
              <w:t>Gunderson Dettmer Stough Villeneuve</w:t>
            </w:r>
          </w:p>
        </w:tc>
      </w:tr>
      <w:tr>
        <w:trPr>
          <w:trHeight w:val="158"/>
        </w:trPr>
        <w:tc>
          <w:tcPr>
            <w:tcW w:w="200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7"/>
              </w:rPr>
              <w:t>555 Ellis Street</w:t>
            </w:r>
          </w:p>
        </w:tc>
        <w:tc>
          <w:tcPr>
            <w:tcW w:w="4100" w:type="dxa"/>
            <w:vAlign w:val="bottom"/>
          </w:tcPr>
          <w:p>
            <w:pPr>
              <w:jc w:val="center"/>
              <w:ind w:left="1957"/>
              <w:spacing w:after="0"/>
              <w:rPr>
                <w:sz w:val="20"/>
                <w:szCs w:val="20"/>
                <w:color w:val="auto"/>
              </w:rPr>
            </w:pPr>
            <w:r>
              <w:rPr>
                <w:rFonts w:ascii="Times New Roman" w:cs="Times New Roman" w:eastAsia="Times New Roman" w:hAnsi="Times New Roman"/>
                <w:sz w:val="13"/>
                <w:szCs w:val="13"/>
                <w:b w:val="1"/>
                <w:bCs w:val="1"/>
                <w:color w:val="auto"/>
                <w:w w:val="97"/>
              </w:rPr>
              <w:t>Franklin &amp; Hachigian, LLP</w:t>
            </w:r>
          </w:p>
        </w:tc>
      </w:tr>
      <w:tr>
        <w:trPr>
          <w:trHeight w:val="158"/>
        </w:trPr>
        <w:tc>
          <w:tcPr>
            <w:tcW w:w="200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6"/>
              </w:rPr>
              <w:t>Mountain View, CA 94043</w:t>
            </w:r>
          </w:p>
        </w:tc>
        <w:tc>
          <w:tcPr>
            <w:tcW w:w="410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6"/>
              </w:rPr>
              <w:t>550 Allerton Street</w:t>
            </w:r>
          </w:p>
        </w:tc>
      </w:tr>
      <w:tr>
        <w:trPr>
          <w:trHeight w:val="158"/>
        </w:trPr>
        <w:tc>
          <w:tcPr>
            <w:tcW w:w="200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5"/>
              </w:rPr>
              <w:t>(650) 481-7070</w:t>
            </w:r>
          </w:p>
        </w:tc>
        <w:tc>
          <w:tcPr>
            <w:tcW w:w="4100" w:type="dxa"/>
            <w:vAlign w:val="bottom"/>
          </w:tcPr>
          <w:p>
            <w:pPr>
              <w:jc w:val="center"/>
              <w:ind w:left="1957"/>
              <w:spacing w:after="0"/>
              <w:rPr>
                <w:sz w:val="20"/>
                <w:szCs w:val="20"/>
                <w:color w:val="auto"/>
              </w:rPr>
            </w:pPr>
            <w:r>
              <w:rPr>
                <w:rFonts w:ascii="Times New Roman" w:cs="Times New Roman" w:eastAsia="Times New Roman" w:hAnsi="Times New Roman"/>
                <w:sz w:val="13"/>
                <w:szCs w:val="13"/>
                <w:b w:val="1"/>
                <w:bCs w:val="1"/>
                <w:color w:val="auto"/>
                <w:w w:val="96"/>
              </w:rPr>
              <w:t>Redwood City, California 94063</w:t>
            </w:r>
          </w:p>
        </w:tc>
      </w:tr>
      <w:tr>
        <w:trPr>
          <w:trHeight w:val="167"/>
        </w:trPr>
        <w:tc>
          <w:tcPr>
            <w:tcW w:w="2000" w:type="dxa"/>
            <w:vAlign w:val="bottom"/>
          </w:tcPr>
          <w:p>
            <w:pPr>
              <w:spacing w:after="0"/>
              <w:rPr>
                <w:sz w:val="14"/>
                <w:szCs w:val="14"/>
                <w:color w:val="auto"/>
              </w:rPr>
            </w:pPr>
          </w:p>
        </w:tc>
        <w:tc>
          <w:tcPr>
            <w:tcW w:w="4100" w:type="dxa"/>
            <w:vAlign w:val="bottom"/>
          </w:tcPr>
          <w:p>
            <w:pPr>
              <w:jc w:val="center"/>
              <w:ind w:left="1957"/>
              <w:spacing w:after="0"/>
              <w:rPr>
                <w:sz w:val="20"/>
                <w:szCs w:val="20"/>
                <w:color w:val="auto"/>
              </w:rPr>
            </w:pPr>
            <w:r>
              <w:rPr>
                <w:rFonts w:ascii="Times New Roman" w:cs="Times New Roman" w:eastAsia="Times New Roman" w:hAnsi="Times New Roman"/>
                <w:sz w:val="13"/>
                <w:szCs w:val="13"/>
                <w:b w:val="1"/>
                <w:bCs w:val="1"/>
                <w:color w:val="auto"/>
                <w:w w:val="97"/>
              </w:rPr>
              <w:t>Tel: (650) 321-2400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129540</wp:posOffset>
            </wp:positionV>
            <wp:extent cx="11512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6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66" w:lineRule="exact"/>
        <w:rPr>
          <w:sz w:val="24"/>
          <w:szCs w:val="24"/>
          <w:color w:val="auto"/>
        </w:rPr>
      </w:pPr>
    </w:p>
    <w:p>
      <w:pPr>
        <w:ind w:left="134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22" w:lineRule="exact"/>
        <w:rPr>
          <w:sz w:val="24"/>
          <w:szCs w:val="24"/>
          <w:color w:val="auto"/>
        </w:rPr>
      </w:pPr>
    </w:p>
    <w:p>
      <w:pPr>
        <w:ind w:left="1340" w:right="279"/>
        <w:spacing w:after="0" w:line="172"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58" w:lineRule="exact"/>
        <w:rPr>
          <w:sz w:val="24"/>
          <w:szCs w:val="24"/>
          <w:color w:val="auto"/>
        </w:rPr>
      </w:pPr>
    </w:p>
    <w:p>
      <w:pPr>
        <w:ind w:left="1340" w:right="23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1340" w:right="33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1340" w:right="67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58" w:lineRule="exact"/>
        <w:rPr>
          <w:sz w:val="24"/>
          <w:szCs w:val="24"/>
          <w:color w:val="auto"/>
        </w:rPr>
      </w:pPr>
    </w:p>
    <w:p>
      <w:pPr>
        <w:ind w:left="1340" w:right="29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58" w:lineRule="exact"/>
        <w:rPr>
          <w:sz w:val="24"/>
          <w:szCs w:val="24"/>
          <w:color w:val="auto"/>
        </w:rPr>
      </w:pPr>
    </w:p>
    <w:p>
      <w:pPr>
        <w:ind w:left="1340" w:right="239"/>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1340" w:type="dxa"/>
        <w:tblCellMar>
          <w:top w:w="0" w:type="dxa"/>
          <w:left w:w="0" w:type="dxa"/>
          <w:bottom w:w="0" w:type="dxa"/>
          <w:right w:w="0" w:type="dxa"/>
        </w:tblCellMar>
      </w:tblP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6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4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6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42"/>
        </w:trPr>
        <w:tc>
          <w:tcPr>
            <w:tcW w:w="12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16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8" w:lineRule="exact"/>
        <w:rPr>
          <w:sz w:val="24"/>
          <w:szCs w:val="24"/>
          <w:color w:val="auto"/>
        </w:rPr>
      </w:pPr>
    </w:p>
    <w:p>
      <w:pPr>
        <w:ind w:left="1340" w:right="49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852805</wp:posOffset>
            </wp:positionH>
            <wp:positionV relativeFrom="paragraph">
              <wp:posOffset>57150</wp:posOffset>
            </wp:positionV>
            <wp:extent cx="54622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90805</wp:posOffset>
            </wp:positionV>
            <wp:extent cx="54622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75565</wp:posOffset>
            </wp:positionV>
            <wp:extent cx="869950" cy="1177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0"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Preferred Stock</w:t>
      </w:r>
    </w:p>
    <w:p>
      <w:pPr>
        <w:jc w:val="center"/>
        <w:ind w:right="-1140"/>
        <w:spacing w:after="0" w:line="232" w:lineRule="auto"/>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Up to 3,509,719 shares of common stock offered by the selling stockholder</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Shares of common stock offered by additional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131445</wp:posOffset>
            </wp:positionV>
            <wp:extent cx="11512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71" w:lineRule="exact"/>
        <w:rPr>
          <w:sz w:val="20"/>
          <w:szCs w:val="20"/>
          <w:color w:val="auto"/>
        </w:rPr>
      </w:pPr>
    </w:p>
    <w:p>
      <w:pPr>
        <w:ind w:left="1340" w:right="299"/>
        <w:spacing w:after="0" w:line="266" w:lineRule="auto"/>
        <w:rPr>
          <w:sz w:val="20"/>
          <w:szCs w:val="20"/>
          <w:color w:val="auto"/>
        </w:rPr>
      </w:pPr>
      <w:r>
        <w:rPr>
          <w:rFonts w:ascii="Times New Roman" w:cs="Times New Roman" w:eastAsia="Times New Roman" w:hAnsi="Times New Roman"/>
          <w:sz w:val="13"/>
          <w:szCs w:val="13"/>
          <w:color w:val="auto"/>
        </w:rPr>
        <w:t>We may offer and sell from time to time, in one or more offerings, in amounts, at prices and on terms determined at the time of any such offering, (1) shares of our common stock, (2) shares of our preferred stock, which we may issue in one or more series, (3) debt securities, which may be senior debt securities or subordinated debt securities, or (4) warrants to purchase our common stock.</w:t>
      </w:r>
    </w:p>
    <w:p>
      <w:pPr>
        <w:spacing w:after="0" w:line="62" w:lineRule="exact"/>
        <w:rPr>
          <w:sz w:val="20"/>
          <w:szCs w:val="20"/>
          <w:color w:val="auto"/>
        </w:rPr>
      </w:pPr>
    </w:p>
    <w:p>
      <w:pPr>
        <w:ind w:left="1340" w:right="319"/>
        <w:spacing w:after="0" w:line="256" w:lineRule="auto"/>
        <w:rPr>
          <w:sz w:val="20"/>
          <w:szCs w:val="20"/>
          <w:color w:val="auto"/>
        </w:rPr>
      </w:pPr>
      <w:r>
        <w:rPr>
          <w:rFonts w:ascii="Times New Roman" w:cs="Times New Roman" w:eastAsia="Times New Roman" w:hAnsi="Times New Roman"/>
          <w:sz w:val="13"/>
          <w:szCs w:val="13"/>
          <w:color w:val="auto"/>
        </w:rPr>
        <w:t>In addition, this prospectus relates to the offer and potential resale from time to time of (1) up to 3,509,719 shares of our common stock (the “resale shares”) held by a selling stockholder (together with its permitted transferees, the “selling stockholder”) in amounts, at prices, and on terms that will be determined at the time of the applicable offering and (2) shares of our common stock held by selling stockholders to be named later (the “additional selling stockholders”). The selling stockholder acquired the resale shares from us pursuant to a subscription agreement dated May 13, 2025. We issued the resale shares to the selling stockholder in reliance upon the exemption from registration afforded by Section 4(a)(2) of the Securities Act of 1933, as amended (the “Securities Act”). Our registration of the shares offered by the selling stockholder or any additional selling stockholder does not mean that such selling stockholder or additional selling stockholder will offer or sell any shares of our common stock. We will not receive any of the proceeds from the sale of our common stock by the selling stockholder or any additional selling stockholder. The selling stockholder and any additional selling stockholder will bear all discounts, concessions, commissions and stock transfer taxes, if any, attributable to its sales of shares of our common stock.</w:t>
      </w:r>
    </w:p>
    <w:p>
      <w:pPr>
        <w:spacing w:after="0" w:line="72" w:lineRule="exact"/>
        <w:rPr>
          <w:sz w:val="20"/>
          <w:szCs w:val="20"/>
          <w:color w:val="auto"/>
        </w:rPr>
      </w:pPr>
    </w:p>
    <w:p>
      <w:pPr>
        <w:ind w:left="1340" w:right="239"/>
        <w:spacing w:after="0" w:line="258" w:lineRule="auto"/>
        <w:rPr>
          <w:sz w:val="20"/>
          <w:szCs w:val="20"/>
          <w:color w:val="auto"/>
        </w:rPr>
      </w:pPr>
      <w:r>
        <w:rPr>
          <w:rFonts w:ascii="Times New Roman" w:cs="Times New Roman" w:eastAsia="Times New Roman" w:hAnsi="Times New Roman"/>
          <w:sz w:val="13"/>
          <w:szCs w:val="13"/>
          <w:color w:val="auto"/>
        </w:rPr>
        <w:t>Each time we or any additional selling stockholders sell shares of our common stock, we or such additional selling stockholders will provide the specific terms of the offering, and, if applicable, the additional selling stockholders, in a supplement to this prospectus. This prospectus provides you with a general description of the securities we may offer. The securities may be offered by us at prices and on terms determined at the time of offering. We may also authorize one or more free writing prospectuses to be provided to you in connection with such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by reference herein and therein, before you invest in the securities described in this prospectus.</w:t>
      </w:r>
    </w:p>
    <w:p>
      <w:pPr>
        <w:spacing w:after="0" w:line="69" w:lineRule="exact"/>
        <w:rPr>
          <w:sz w:val="20"/>
          <w:szCs w:val="20"/>
          <w:color w:val="auto"/>
        </w:rPr>
      </w:pPr>
    </w:p>
    <w:p>
      <w:pPr>
        <w:ind w:left="1340" w:right="319"/>
        <w:spacing w:after="0" w:line="262" w:lineRule="auto"/>
        <w:rPr>
          <w:sz w:val="20"/>
          <w:szCs w:val="20"/>
          <w:color w:val="auto"/>
        </w:rPr>
      </w:pPr>
      <w:r>
        <w:rPr>
          <w:rFonts w:ascii="Times New Roman" w:cs="Times New Roman" w:eastAsia="Times New Roman" w:hAnsi="Times New Roman"/>
          <w:sz w:val="13"/>
          <w:szCs w:val="13"/>
          <w:color w:val="auto"/>
        </w:rPr>
        <w:t>We, the selling stockholder or any additional selling stockholder may offer and sell the securities described in this prospectus and any prospectus supplement separately or together sale through underwriters, dealers or agents, or directly to purchasers, or through a combination of these methods. See “Plan of Distribution” beginning on page 8 of this prospectus. If any underwriters, dealers or agents are involved in the sale of these securities we will set forth their names and describe their compensation in the applicable prospectus supplement.</w:t>
      </w:r>
    </w:p>
    <w:p>
      <w:pPr>
        <w:spacing w:after="0" w:line="64" w:lineRule="exact"/>
        <w:rPr>
          <w:sz w:val="20"/>
          <w:szCs w:val="20"/>
          <w:color w:val="auto"/>
        </w:rPr>
      </w:pPr>
    </w:p>
    <w:p>
      <w:pPr>
        <w:ind w:left="1340" w:right="219"/>
        <w:spacing w:after="0" w:line="278" w:lineRule="auto"/>
        <w:rPr>
          <w:sz w:val="20"/>
          <w:szCs w:val="20"/>
          <w:color w:val="auto"/>
        </w:rPr>
      </w:pPr>
      <w:r>
        <w:rPr>
          <w:rFonts w:ascii="Times New Roman" w:cs="Times New Roman" w:eastAsia="Times New Roman" w:hAnsi="Times New Roman"/>
          <w:sz w:val="13"/>
          <w:szCs w:val="13"/>
          <w:color w:val="auto"/>
        </w:rPr>
        <w:t>Our common stock, $0.0001 par value per share, is listed on The Nasdaq Global Select Market (“Nasdaq”) under the symbol “AEVA.” On June 2, 2026, the closing price of our common stock was $27.76 per share.</w:t>
      </w:r>
    </w:p>
    <w:p>
      <w:pPr>
        <w:spacing w:after="0" w:line="48" w:lineRule="exact"/>
        <w:rPr>
          <w:sz w:val="20"/>
          <w:szCs w:val="20"/>
          <w:color w:val="auto"/>
        </w:rPr>
      </w:pPr>
    </w:p>
    <w:p>
      <w:pPr>
        <w:ind w:left="1340" w:right="359"/>
        <w:spacing w:after="0" w:line="287"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section of this prospectus captioned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5, as well as in any applicable prospectus supplement and in our Securities and Exchange Commission (“SEC”) filings that are incorporated by reference herein.</w:t>
      </w:r>
    </w:p>
    <w:p>
      <w:pPr>
        <w:spacing w:after="0" w:line="41" w:lineRule="exact"/>
        <w:rPr>
          <w:sz w:val="20"/>
          <w:szCs w:val="20"/>
          <w:color w:val="auto"/>
        </w:rPr>
      </w:pPr>
    </w:p>
    <w:p>
      <w:pPr>
        <w:ind w:left="1340" w:right="579"/>
        <w:spacing w:after="0" w:line="281"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107315</wp:posOffset>
            </wp:positionV>
            <wp:extent cx="115125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This prospectus may not be used to sell securities unless accompanied by a prospectus supplement.</w:t>
      </w:r>
    </w:p>
    <w:p>
      <w:pPr>
        <w:spacing w:after="0" w:line="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The date of this prospectus is June 3, 2026</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80" w:type="dxa"/>
            <w:vAlign w:val="bottom"/>
            <w:gridSpan w:val="3"/>
          </w:tcPr>
          <w:p>
            <w:pPr>
              <w:jc w:val="right"/>
              <w:ind w:right="35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6"/>
        </w:trPr>
        <w:tc>
          <w:tcPr>
            <w:tcW w:w="304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60" w:type="dxa"/>
            <w:vAlign w:val="bottom"/>
            <w:vMerge w:val="restart"/>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8"/>
              </w:rPr>
              <w:t>Page</w:t>
            </w:r>
          </w:p>
        </w:tc>
        <w:tc>
          <w:tcPr>
            <w:tcW w:w="0" w:type="dxa"/>
            <w:vAlign w:val="bottom"/>
          </w:tcPr>
          <w:p>
            <w:pPr>
              <w:spacing w:after="0"/>
              <w:rPr>
                <w:sz w:val="1"/>
                <w:szCs w:val="1"/>
                <w:color w:val="auto"/>
              </w:rPr>
            </w:pPr>
          </w:p>
        </w:tc>
      </w:tr>
      <w:tr>
        <w:trPr>
          <w:trHeight w:val="133"/>
        </w:trPr>
        <w:tc>
          <w:tcPr>
            <w:tcW w:w="3040" w:type="dxa"/>
            <w:vAlign w:val="bottom"/>
            <w:tcBorders>
              <w:bottom w:val="single" w:sz="8" w:color="0000EE"/>
            </w:tcBorders>
            <w:gridSpan w:val="15"/>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2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About This Prospectus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Aeva Technologies, Inc.</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1360" w:type="dxa"/>
            <w:vAlign w:val="bottom"/>
            <w:tcBorders>
              <w:top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1940" w:type="dxa"/>
            <w:vAlign w:val="bottom"/>
            <w:gridSpan w:val="7"/>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8"/>
              </w:rPr>
              <w:t>Use of Proceeds</w:t>
            </w:r>
          </w:p>
        </w:tc>
        <w:tc>
          <w:tcPr>
            <w:tcW w:w="2380" w:type="dxa"/>
            <w:vAlign w:val="bottom"/>
            <w:gridSpan w:val="12"/>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Additional Selling Stockholders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1140" w:type="dxa"/>
            <w:vAlign w:val="bottom"/>
            <w:tcBorders>
              <w:top w:val="single" w:sz="8" w:color="0000EE"/>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660" w:type="dxa"/>
            <w:vAlign w:val="bottom"/>
            <w:tcBorders>
              <w:top w:val="single" w:sz="8" w:color="0000EE"/>
            </w:tcBorders>
            <w:gridSpan w:val="7"/>
          </w:tcPr>
          <w:p>
            <w:pPr>
              <w:spacing w:after="0"/>
              <w:rPr>
                <w:sz w:val="12"/>
                <w:szCs w:val="12"/>
                <w:color w:val="auto"/>
              </w:rPr>
            </w:pPr>
          </w:p>
        </w:tc>
        <w:tc>
          <w:tcPr>
            <w:tcW w:w="1500" w:type="dxa"/>
            <w:vAlign w:val="bottom"/>
            <w:gridSpan w:val="3"/>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40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Securities</w:t>
            </w:r>
          </w:p>
        </w:tc>
        <w:tc>
          <w:tcPr>
            <w:tcW w:w="1900" w:type="dxa"/>
            <w:vAlign w:val="bottom"/>
            <w:gridSpan w:val="6"/>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1700" w:type="dxa"/>
            <w:vAlign w:val="bottom"/>
            <w:tcBorders>
              <w:top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rPr>
              <w:t>Description of Warrants</w:t>
            </w:r>
          </w:p>
        </w:tc>
        <w:tc>
          <w:tcPr>
            <w:tcW w:w="1600" w:type="dxa"/>
            <w:vAlign w:val="bottom"/>
            <w:gridSpan w:val="4"/>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1120" w:type="dxa"/>
            <w:vAlign w:val="bottom"/>
            <w:tcBorders>
              <w:top w:val="single" w:sz="8" w:color="0000EE"/>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Selling Stockholder</w:t>
            </w:r>
          </w:p>
        </w:tc>
        <w:tc>
          <w:tcPr>
            <w:tcW w:w="220" w:type="dxa"/>
            <w:vAlign w:val="bottom"/>
            <w:tcBorders>
              <w:top w:val="single" w:sz="8" w:color="0000EE"/>
            </w:tcBorders>
            <w:gridSpan w:val="3"/>
          </w:tcPr>
          <w:p>
            <w:pPr>
              <w:spacing w:after="0"/>
              <w:rPr>
                <w:sz w:val="12"/>
                <w:szCs w:val="12"/>
                <w:color w:val="auto"/>
              </w:rPr>
            </w:pPr>
          </w:p>
        </w:tc>
        <w:tc>
          <w:tcPr>
            <w:tcW w:w="1960" w:type="dxa"/>
            <w:vAlign w:val="bottom"/>
            <w:gridSpan w:val="8"/>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44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Experts</w:t>
            </w:r>
          </w:p>
        </w:tc>
        <w:tc>
          <w:tcPr>
            <w:tcW w:w="340" w:type="dxa"/>
            <w:vAlign w:val="bottom"/>
            <w:tcBorders>
              <w:top w:val="single" w:sz="8" w:color="0000EE"/>
            </w:tcBorders>
            <w:gridSpan w:val="2"/>
          </w:tcPr>
          <w:p>
            <w:pPr>
              <w:spacing w:after="0"/>
              <w:rPr>
                <w:sz w:val="12"/>
                <w:szCs w:val="12"/>
                <w:color w:val="auto"/>
              </w:rPr>
            </w:pPr>
          </w:p>
        </w:tc>
        <w:tc>
          <w:tcPr>
            <w:tcW w:w="2520" w:type="dxa"/>
            <w:vAlign w:val="bottom"/>
            <w:gridSpan w:val="13"/>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240" w:type="dxa"/>
            <w:vAlign w:val="bottom"/>
            <w:tcBorders>
              <w:top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060" w:type="dxa"/>
            <w:vAlign w:val="bottom"/>
            <w:gridSpan w:val="2"/>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340" w:right="219"/>
        <w:spacing w:after="0" w:line="252" w:lineRule="auto"/>
        <w:rPr>
          <w:sz w:val="20"/>
          <w:szCs w:val="20"/>
          <w:color w:val="auto"/>
        </w:rPr>
      </w:pPr>
      <w:r>
        <w:rPr>
          <w:rFonts w:ascii="Times New Roman" w:cs="Times New Roman" w:eastAsia="Times New Roman" w:hAnsi="Times New Roman"/>
          <w:sz w:val="14"/>
          <w:szCs w:val="14"/>
          <w:color w:val="auto"/>
        </w:rPr>
        <w:t>This prospectus, any prospectus supplement, and the information incorporated by reference in this prospectus and any prospectus supplement contain or may contain forward-looking statements within the meaning of Section 27A of the Securities Act of 1933, as amended (the “Securities Act”), and Section 21E of the Securities Exchange Act of 1934, as amended (the “Exchange Act”), which statements involve substantial risk and uncertainties. All statements contained in this prospectus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history of losses, and limited sales; the risk our programs are not fully developed and commercialized, or if such programs experience significant delays; our limited operating history; the risk that our strategic initiatives designed to grow our business, including our selection by a top European passenger original equipment manufacturer and our strategic collaboration with LG Innotek Co., Ltd., may not be successful or may prove more costly than we currently anticipate; the risk our products are not selected for inclusion in development programs for assisted driving systems or autonomous driving systems , industrial automation, consumer device, robotics and security applications, or are not adopted by customers; the lengthy period of time from a design win to implementation, and the risks of cancellation or postponement of the contract or unsuccessful implementation; the risk our forward looking estimates of certain financial metrics, including but not limited to Order Book, may prove inaccurate; the risk that we may be unable to effectively manage our supply chain; the risk that the complexity of our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 continued pricing pressures, automotive original equipment manufacturer (“OEM”) cost reduction initiatives and the ability of automotive OEMs to re-source or cancel vehicle or technology programs; the risks relating to incurring substantial R&amp;D costs and devoting significant resources to identifying and commercializing new products; uncertainty related to the market adoption of LiDAR, including Aeva’s 4D LiDAR technology; the risk our transition to an outsourced manufacturing business model may not be successful; risks related to product liability or warranty claims that could result in significant direct or indirect costs to us; the risk of our high dependence on the services of Soroush Salehian Dardashti and Mina Rezk, our two founders; the potential interruption or failure of our information technology and communication systems and cybersecurity risks to our operational systems, security systems, infrastructure, integrated software in our LiDAR solutions and those risks described under “Risk Factors” of this prospectus, any prospectus supplement that we may file, and in any Annual Report on Form 10-K and any Quarterly Report on Form 10-Q incorporated by reference in this prospectus or any prospectus supplement.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57" w:lineRule="exact"/>
        <w:rPr>
          <w:sz w:val="20"/>
          <w:szCs w:val="20"/>
          <w:color w:val="auto"/>
        </w:rPr>
      </w:pPr>
    </w:p>
    <w:p>
      <w:pPr>
        <w:ind w:left="1340" w:right="339"/>
        <w:spacing w:after="0" w:line="258"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The forward-looking statements contained in this prospectus, any prospectus supplement, the information incorporated by reference in this prospectus or any prospectus supplement, or any free writing prospectus we may authorize are based on information currently available to us and expectations and assumptions that we deem reasonable at the time the statements were made. We do not undertake any obligation to update any forward-looking statements in this prospectus, any prospectus supplement, including the information incorporated by reference in this prospectus or any prospectus supplement, any free writing prospectus we may authorize or in any of our other communications,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59"/>
        <w:spacing w:after="0" w:line="262" w:lineRule="auto"/>
        <w:rPr>
          <w:sz w:val="20"/>
          <w:szCs w:val="20"/>
          <w:color w:val="auto"/>
        </w:rPr>
      </w:pPr>
      <w:r>
        <w:rPr>
          <w:rFonts w:ascii="Times New Roman" w:cs="Times New Roman" w:eastAsia="Times New Roman" w:hAnsi="Times New Roman"/>
          <w:sz w:val="14"/>
          <w:szCs w:val="14"/>
          <w:color w:val="auto"/>
        </w:rPr>
        <w:t>except as required by law. Such forward-looking statements are subject to risks, uncertainties (some of which are beyond our control)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8" w:lineRule="exact"/>
        <w:rPr>
          <w:sz w:val="20"/>
          <w:szCs w:val="20"/>
          <w:color w:val="auto"/>
        </w:rPr>
      </w:pPr>
    </w:p>
    <w:p>
      <w:pPr>
        <w:ind w:left="1340" w:right="259"/>
        <w:spacing w:after="0" w:line="258"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may offer and sell any combination of the securities described in this prospectus from time to time in one or more offerings, and the additional selling stockholders to be named in a supplement to this prospectus may offer and sell shares of our common stock from time to time in one or more offerings as described in this prospectus. The selling stockholder may use the shelf registration to sell up to 3,509,719 shares of common stock from time to time through any means described in the section titled “Plan of Distribution.”</w:t>
      </w:r>
    </w:p>
    <w:p>
      <w:pPr>
        <w:spacing w:after="0" w:line="142" w:lineRule="exact"/>
        <w:rPr>
          <w:sz w:val="20"/>
          <w:szCs w:val="20"/>
          <w:color w:val="auto"/>
        </w:rPr>
      </w:pPr>
    </w:p>
    <w:p>
      <w:pPr>
        <w:ind w:left="1340" w:right="259"/>
        <w:spacing w:after="0" w:line="262"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(as supplemented and amended), including the information incorporated by reference, or any free writing prospectus we may authorize. We and/or the selling stockholder provided the information contained in the aforementioned documents only as of the date of the applicable document, and it is possible that the information, including our business, financial condition, and results of operations, may have changed since that date.</w:t>
      </w:r>
    </w:p>
    <w:p>
      <w:pPr>
        <w:spacing w:after="0" w:line="140" w:lineRule="exact"/>
        <w:rPr>
          <w:sz w:val="20"/>
          <w:szCs w:val="20"/>
          <w:color w:val="auto"/>
        </w:rPr>
      </w:pPr>
    </w:p>
    <w:p>
      <w:pPr>
        <w:ind w:left="1340" w:right="339"/>
        <w:spacing w:after="0" w:line="259" w:lineRule="auto"/>
        <w:rPr>
          <w:sz w:val="20"/>
          <w:szCs w:val="20"/>
          <w:color w:val="auto"/>
        </w:rPr>
      </w:pPr>
      <w:r>
        <w:rPr>
          <w:rFonts w:ascii="Times New Roman" w:cs="Times New Roman" w:eastAsia="Times New Roman" w:hAnsi="Times New Roman"/>
          <w:sz w:val="14"/>
          <w:szCs w:val="14"/>
          <w:color w:val="auto"/>
        </w:rPr>
        <w:t>This prospectus only provides you with a general description of the securities that we, the selling stockholder and/or any additional selling stockholder may offer. Each time we and/or any additional selling stockholder sell securities pursuant to this prospectus, we and/or such additional selling stockholder will provide a prospectus supplement that contains specific information about the terms of the offering, including the specific amounts and prices of the securities offered. In addition, the prospectus supplement may also add, update or change the information contained in this prospectus. If this prospectus is inconsistent with the prospectus supplement, you should rely upon the prospectus supplement.</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urge you to read carefully this prospectus (as supplemented and amended) before deciding whether to purchase the common stock being offered.</w:t>
      </w:r>
    </w:p>
    <w:p>
      <w:pPr>
        <w:spacing w:after="0" w:line="174" w:lineRule="exact"/>
        <w:rPr>
          <w:sz w:val="20"/>
          <w:szCs w:val="20"/>
          <w:color w:val="auto"/>
        </w:rPr>
      </w:pPr>
    </w:p>
    <w:p>
      <w:pPr>
        <w:ind w:left="1340" w:right="299"/>
        <w:spacing w:after="0" w:line="258" w:lineRule="auto"/>
        <w:rPr>
          <w:sz w:val="20"/>
          <w:szCs w:val="20"/>
          <w:color w:val="auto"/>
        </w:rPr>
      </w:pPr>
      <w:r>
        <w:rPr>
          <w:rFonts w:ascii="Times New Roman" w:cs="Times New Roman" w:eastAsia="Times New Roman" w:hAnsi="Times New Roman"/>
          <w:sz w:val="14"/>
          <w:szCs w:val="14"/>
          <w:b w:val="1"/>
          <w:bCs w:val="1"/>
          <w:color w:val="auto"/>
        </w:rPr>
        <w:t>Neither we or the selling stockholder have authorized anyone to provide any information other than that contained or incorporated by reference in this prospectus or in any free writing prospectus prepared by or on behalf of us or to which we have referred you. Neither we nor the selling stockholder take any responsibility for, and can provide no assurance as to the reliability of, any other information that others may give you. Neither we nor the selling stockholder are making an offer of our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44" w:lineRule="exact"/>
        <w:rPr>
          <w:sz w:val="20"/>
          <w:szCs w:val="20"/>
          <w:color w:val="auto"/>
        </w:rPr>
      </w:pPr>
    </w:p>
    <w:p>
      <w:pPr>
        <w:jc w:val="center"/>
        <w:ind w:left="1340" w:right="300"/>
        <w:spacing w:after="0" w:line="457" w:lineRule="auto"/>
        <w:rPr>
          <w:sz w:val="20"/>
          <w:szCs w:val="20"/>
          <w:color w:val="auto"/>
        </w:rPr>
      </w:pPr>
      <w:r>
        <w:rPr>
          <w:rFonts w:ascii="Times New Roman" w:cs="Times New Roman" w:eastAsia="Times New Roman" w:hAnsi="Times New Roman"/>
          <w:sz w:val="14"/>
          <w:szCs w:val="14"/>
          <w:color w:val="auto"/>
        </w:rPr>
        <w:t>Unless the context otherwise requires, the terms “Aeva,” “we,” “us,” “our,” and “the Company” mean Aeva Technologies, Inc. and its subsidiaries. 3</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AEVA TECHNOLOGIES, INC.</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ind w:left="1340" w:right="219"/>
        <w:spacing w:after="0" w:line="268" w:lineRule="auto"/>
        <w:rPr>
          <w:sz w:val="20"/>
          <w:szCs w:val="20"/>
          <w:color w:val="auto"/>
        </w:rPr>
      </w:pPr>
      <w:r>
        <w:rPr>
          <w:rFonts w:ascii="Times New Roman" w:cs="Times New Roman" w:eastAsia="Times New Roman" w:hAnsi="Times New Roman"/>
          <w:sz w:val="14"/>
          <w:szCs w:val="14"/>
          <w:color w:val="auto"/>
        </w:rPr>
        <w:t>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w:t>
      </w:r>
    </w:p>
    <w:p>
      <w:pPr>
        <w:spacing w:after="0" w:line="135" w:lineRule="exact"/>
        <w:rPr>
          <w:sz w:val="20"/>
          <w:szCs w:val="20"/>
          <w:color w:val="auto"/>
        </w:rPr>
      </w:pPr>
    </w:p>
    <w:p>
      <w:pPr>
        <w:ind w:left="1340" w:right="639"/>
        <w:spacing w:after="0" w:line="259" w:lineRule="auto"/>
        <w:rPr>
          <w:sz w:val="20"/>
          <w:szCs w:val="20"/>
          <w:color w:val="auto"/>
        </w:rPr>
      </w:pPr>
      <w:r>
        <w:rPr>
          <w:rFonts w:ascii="Times New Roman" w:cs="Times New Roman" w:eastAsia="Times New Roman" w:hAnsi="Times New Roman"/>
          <w:sz w:val="14"/>
          <w:szCs w:val="14"/>
          <w:color w:val="auto"/>
        </w:rPr>
        <w:t>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manufacturing automation and smart infrastructure, robotics and consumer devices. Our 4D LiDAR-on-chip combines silicon photonics technology that is proven in the telecom industry with precise instant velocity measurements and long-range performance for commercialization.</w:t>
      </w:r>
    </w:p>
    <w:p>
      <w:pPr>
        <w:spacing w:after="0" w:line="143" w:lineRule="exact"/>
        <w:rPr>
          <w:sz w:val="20"/>
          <w:szCs w:val="20"/>
          <w:color w:val="auto"/>
        </w:rPr>
      </w:pPr>
    </w:p>
    <w:p>
      <w:pPr>
        <w:ind w:left="1340" w:right="499"/>
        <w:spacing w:after="0" w:line="259" w:lineRule="auto"/>
        <w:rPr>
          <w:sz w:val="20"/>
          <w:szCs w:val="20"/>
          <w:color w:val="auto"/>
        </w:rPr>
      </w:pPr>
      <w:r>
        <w:rPr>
          <w:rFonts w:ascii="Times New Roman" w:cs="Times New Roman" w:eastAsia="Times New Roman" w:hAnsi="Times New Roman"/>
          <w:sz w:val="14"/>
          <w:szCs w:val="14"/>
          <w:color w:val="auto"/>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vehicles to see at significantly higher distances of up to 500 meters.</w:t>
      </w:r>
    </w:p>
    <w:p>
      <w:pPr>
        <w:spacing w:after="0" w:line="143" w:lineRule="exact"/>
        <w:rPr>
          <w:sz w:val="20"/>
          <w:szCs w:val="20"/>
          <w:color w:val="auto"/>
        </w:rPr>
      </w:pPr>
    </w:p>
    <w:p>
      <w:pPr>
        <w:ind w:left="1340" w:right="359"/>
        <w:spacing w:after="0" w:line="268" w:lineRule="auto"/>
        <w:rPr>
          <w:sz w:val="20"/>
          <w:szCs w:val="20"/>
          <w:color w:val="auto"/>
        </w:rPr>
      </w:pPr>
      <w:r>
        <w:rPr>
          <w:rFonts w:ascii="Times New Roman" w:cs="Times New Roman" w:eastAsia="Times New Roman" w:hAnsi="Times New Roman"/>
          <w:sz w:val="14"/>
          <w:szCs w:val="14"/>
          <w:color w:val="auto"/>
        </w:rPr>
        <w:t>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340" w:right="219"/>
        <w:spacing w:after="0" w:line="262" w:lineRule="auto"/>
        <w:rPr>
          <w:sz w:val="20"/>
          <w:szCs w:val="20"/>
          <w:color w:val="auto"/>
        </w:rPr>
      </w:pPr>
      <w:r>
        <w:rPr>
          <w:rFonts w:ascii="Times New Roman" w:cs="Times New Roman" w:eastAsia="Times New Roman" w:hAnsi="Times New Roman"/>
          <w:sz w:val="14"/>
          <w:szCs w:val="14"/>
          <w:color w:val="auto"/>
        </w:rPr>
        <w:t>Aeva Technologies, Inc. was originally incorporated in Delaware as a special purpose acquisition company on August 16, 2019 under the name InterPrivate Acquisition Corp. (“IPV”). On March 12, 2021, the Company consummated a business combination (the “Business Combination”) with Aeva, Inc. In connection with the consummation of the Business Combination, the Company changed its name from IPV to Aeva Technologies, Inc. The Company’s common stock is listed on the Nasdaq Global Select Market under the symbol “AEVA”.</w:t>
      </w:r>
    </w:p>
    <w:p>
      <w:pPr>
        <w:spacing w:after="0" w:line="140" w:lineRule="exact"/>
        <w:rPr>
          <w:sz w:val="20"/>
          <w:szCs w:val="20"/>
          <w:color w:val="auto"/>
        </w:rPr>
      </w:pPr>
    </w:p>
    <w:p>
      <w:pPr>
        <w:ind w:left="1340" w:right="239"/>
        <w:spacing w:after="0" w:line="268" w:lineRule="auto"/>
        <w:rPr>
          <w:sz w:val="20"/>
          <w:szCs w:val="20"/>
          <w:color w:val="auto"/>
        </w:rPr>
      </w:pPr>
      <w:r>
        <w:rPr>
          <w:rFonts w:ascii="Times New Roman" w:cs="Times New Roman" w:eastAsia="Times New Roman" w:hAnsi="Times New Roman"/>
          <w:sz w:val="14"/>
          <w:szCs w:val="14"/>
          <w:color w:val="auto"/>
        </w:rPr>
        <w:t>Aeva is a Delaware corporation. Our principal offices are located at 555 Ellis Street, Mountain View, CA 94043, and our telephone number is (650) 481-7070. Our website address is https://www.aeva.com. Information contained on or accessible through our website is not part of this prospectus and is not incorporated by reference herein.</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left="1340" w:right="259"/>
        <w:spacing w:after="0" w:line="255"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Before deciding whether to purchase our securities,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above titled “Special Note Regarding Forward-Looking Statements.”</w:t>
      </w:r>
    </w:p>
    <w:p>
      <w:pPr>
        <w:spacing w:after="0" w:line="227" w:lineRule="exact"/>
        <w:rPr>
          <w:sz w:val="20"/>
          <w:szCs w:val="20"/>
          <w:color w:val="auto"/>
        </w:rPr>
      </w:pPr>
    </w:p>
    <w:p>
      <w:pPr>
        <w:ind w:left="1340" w:right="339"/>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securities in the public market by the selling stockholder or by our other existing stockholders could cause the price of our common stock to fall.</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w:t>
      </w:r>
    </w:p>
    <w:p>
      <w:pPr>
        <w:spacing w:after="0" w:line="176" w:lineRule="exact"/>
        <w:rPr>
          <w:sz w:val="20"/>
          <w:szCs w:val="20"/>
          <w:color w:val="auto"/>
        </w:rPr>
      </w:pPr>
    </w:p>
    <w:p>
      <w:pPr>
        <w:ind w:left="1340" w:right="259"/>
        <w:spacing w:after="0" w:line="256" w:lineRule="auto"/>
        <w:rPr>
          <w:sz w:val="20"/>
          <w:szCs w:val="20"/>
          <w:color w:val="auto"/>
        </w:rPr>
      </w:pPr>
      <w:r>
        <w:rPr>
          <w:rFonts w:ascii="Times New Roman" w:cs="Times New Roman" w:eastAsia="Times New Roman" w:hAnsi="Times New Roman"/>
          <w:sz w:val="14"/>
          <w:szCs w:val="14"/>
          <w:color w:val="auto"/>
        </w:rPr>
        <w:t>The selling stockholder can sell, under this prospectus, up to 3,509,719 shares, representing approximately a 5.6% beneficial ownership interest of our common stock as of March 31, 2026. Sales of a substantial number of our shares of common stock in the public market by the selling stockholder or by our other existing securityholders, or the perception that those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sale of all the securities being offered in this prospectus could result in a significant decline in the public trading price of our securities. In addition, the registration of these shares of common stock for resale creates the possibility of a significant increase in the supply of our common stock in the market. The increased supply, coupled with the potential disparity in purchase prices, may lead to heightened selling pressure, which could negatively affect the public trading price of our common stock.</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intend to use the net proceeds from the sale of securities as set forth in the applicable prospectus supplement.</w:t>
      </w:r>
    </w:p>
    <w:p>
      <w:pPr>
        <w:spacing w:after="0" w:line="176" w:lineRule="exact"/>
        <w:rPr>
          <w:sz w:val="20"/>
          <w:szCs w:val="20"/>
          <w:color w:val="auto"/>
        </w:rPr>
      </w:pPr>
    </w:p>
    <w:p>
      <w:pPr>
        <w:ind w:left="1340" w:right="259"/>
        <w:spacing w:after="0" w:line="262" w:lineRule="auto"/>
        <w:rPr>
          <w:sz w:val="20"/>
          <w:szCs w:val="20"/>
          <w:color w:val="auto"/>
        </w:rPr>
      </w:pPr>
      <w:r>
        <w:rPr>
          <w:rFonts w:ascii="Times New Roman" w:cs="Times New Roman" w:eastAsia="Times New Roman" w:hAnsi="Times New Roman"/>
          <w:sz w:val="14"/>
          <w:szCs w:val="14"/>
          <w:color w:val="auto"/>
        </w:rPr>
        <w:t>We will not receive any proceeds from the sale of the securities by the selling stockholder or any additional selling stockholder, but in certain cases we may pay fees and expenses relating to the registration or an offering of such securities, such as registration and filing fees, fees and expenses for complying with federal and state securities laws and Nasdaq rules and regulations, and fees and expenses incurred in connection with a listing, if any, of any of the securities on any securities exchange or association.</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ADDITIONAL SELLING STOCKHOLDERS</w:t>
      </w:r>
    </w:p>
    <w:p>
      <w:pPr>
        <w:spacing w:after="0" w:line="178" w:lineRule="exact"/>
        <w:rPr>
          <w:sz w:val="20"/>
          <w:szCs w:val="20"/>
          <w:color w:val="auto"/>
        </w:rPr>
      </w:pPr>
    </w:p>
    <w:p>
      <w:pPr>
        <w:ind w:left="1340" w:right="239"/>
        <w:spacing w:after="0" w:line="259" w:lineRule="auto"/>
        <w:rPr>
          <w:sz w:val="20"/>
          <w:szCs w:val="20"/>
          <w:color w:val="auto"/>
        </w:rPr>
      </w:pPr>
      <w:r>
        <w:rPr>
          <w:rFonts w:ascii="Times New Roman" w:cs="Times New Roman" w:eastAsia="Times New Roman" w:hAnsi="Times New Roman"/>
          <w:sz w:val="14"/>
          <w:szCs w:val="14"/>
          <w:color w:val="auto"/>
        </w:rPr>
        <w:t>Additional selling stockholders are persons or entities that, directly or indirectly, have acquired, or will from time to time acquire from us, our securities. Such additional selling stockholders may be parties to registration rights agreements with us, or we otherwise may have agreed or agree to register their securities for resale. The term “additional selling stockholders” includes donees, pledgees, transferees, distributees or other successors-in-interest selling shares of our common stock or interests in our common stock received after the date of this prospectus from an additional selling stockholder as a gift, pledge, partnership distribution or other transfer.</w:t>
      </w:r>
    </w:p>
    <w:p>
      <w:pPr>
        <w:spacing w:after="0" w:line="143" w:lineRule="exact"/>
        <w:rPr>
          <w:sz w:val="20"/>
          <w:szCs w:val="20"/>
          <w:color w:val="auto"/>
        </w:rPr>
      </w:pPr>
    </w:p>
    <w:p>
      <w:pPr>
        <w:ind w:left="1340" w:right="439"/>
        <w:spacing w:after="0" w:line="284" w:lineRule="auto"/>
        <w:rPr>
          <w:sz w:val="20"/>
          <w:szCs w:val="20"/>
          <w:color w:val="auto"/>
        </w:rPr>
      </w:pPr>
      <w:r>
        <w:rPr>
          <w:rFonts w:ascii="Times New Roman" w:cs="Times New Roman" w:eastAsia="Times New Roman" w:hAnsi="Times New Roman"/>
          <w:sz w:val="14"/>
          <w:szCs w:val="14"/>
          <w:color w:val="auto"/>
        </w:rPr>
        <w:t>Information about additional selling stockholders, where applicable, will be set forth in a prospectus supplement, in an amendment to the registration statement of which this prospectus is a part, or in filings we make with the SEC under the Exchange Act, which are incorporated by reference.</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ind w:left="1340" w:right="239"/>
        <w:spacing w:after="0" w:line="259" w:lineRule="auto"/>
        <w:rPr>
          <w:sz w:val="20"/>
          <w:szCs w:val="20"/>
          <w:color w:val="auto"/>
        </w:rPr>
      </w:pPr>
      <w:r>
        <w:rPr>
          <w:rFonts w:ascii="Times New Roman" w:cs="Times New Roman" w:eastAsia="Times New Roman" w:hAnsi="Times New Roman"/>
          <w:sz w:val="14"/>
          <w:szCs w:val="14"/>
          <w:color w:val="auto"/>
        </w:rPr>
        <w:t>We may, from time to time, sell the securities offered through this prospectus in primary offerings on any stock exchange, market or trading facility on which our securities are traded or quoted or in private transactions. The selling stockholder or any additional selling stockholder may, from time to time, sell, transfer, distribute or otherwise dispose of certain of its shares of common stock or interests in our common stock on any stock exchange, market or trading facility on which shares of our common stock are traded or in private transactions. The common stock may be distributed at a fixed price or prices, which may be changed, market prices prevailing at the time of sale, prices related to the prevailing market prices, or negotiated prices.</w:t>
      </w:r>
    </w:p>
    <w:p>
      <w:pPr>
        <w:spacing w:after="0" w:line="143" w:lineRule="exact"/>
        <w:rPr>
          <w:sz w:val="20"/>
          <w:szCs w:val="20"/>
          <w:color w:val="auto"/>
        </w:rPr>
      </w:pPr>
    </w:p>
    <w:p>
      <w:pPr>
        <w:ind w:left="1340" w:right="339"/>
        <w:spacing w:after="0" w:line="268" w:lineRule="auto"/>
        <w:rPr>
          <w:sz w:val="20"/>
          <w:szCs w:val="20"/>
          <w:color w:val="auto"/>
        </w:rPr>
      </w:pPr>
      <w:r>
        <w:rPr>
          <w:rFonts w:ascii="Times New Roman" w:cs="Times New Roman" w:eastAsia="Times New Roman" w:hAnsi="Times New Roman"/>
          <w:sz w:val="14"/>
          <w:szCs w:val="14"/>
          <w:color w:val="auto"/>
        </w:rPr>
        <w:t>As used in this section, the term “selling stockholders” includes donees, pledgees, transferees, distributees or other successors-in-interest selling shares of our common stock or interests in our common stock received after the date of this prospectus from the selling stockholder or any additional selling stockholder as a gift, pledge, partnership distribution or other transfer.</w:t>
      </w:r>
    </w:p>
    <w:p>
      <w:pPr>
        <w:spacing w:after="0" w:line="135" w:lineRule="exact"/>
        <w:rPr>
          <w:sz w:val="20"/>
          <w:szCs w:val="20"/>
          <w:color w:val="auto"/>
        </w:rPr>
      </w:pPr>
    </w:p>
    <w:p>
      <w:pPr>
        <w:ind w:left="1340" w:right="379"/>
        <w:spacing w:after="0" w:line="284" w:lineRule="auto"/>
        <w:rPr>
          <w:sz w:val="20"/>
          <w:szCs w:val="20"/>
          <w:color w:val="auto"/>
        </w:rPr>
      </w:pPr>
      <w:r>
        <w:rPr>
          <w:rFonts w:ascii="Times New Roman" w:cs="Times New Roman" w:eastAsia="Times New Roman" w:hAnsi="Times New Roman"/>
          <w:sz w:val="14"/>
          <w:szCs w:val="14"/>
          <w:color w:val="auto"/>
        </w:rPr>
        <w:t>We or the selling stockholders may use any one or more of the following methods when selling or otherwise disposing of the securities offered by this prospectus:</w:t>
      </w:r>
    </w:p>
    <w:p>
      <w:pPr>
        <w:spacing w:after="0" w:line="51" w:lineRule="exact"/>
        <w:rPr>
          <w:sz w:val="20"/>
          <w:szCs w:val="20"/>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underwritten offerings;</w:t>
      </w:r>
    </w:p>
    <w:p>
      <w:pPr>
        <w:spacing w:after="0" w:line="102" w:lineRule="exact"/>
        <w:rPr>
          <w:rFonts w:ascii="Times New Roman" w:cs="Times New Roman" w:eastAsia="Times New Roman" w:hAnsi="Times New Roman"/>
          <w:sz w:val="14"/>
          <w:szCs w:val="14"/>
          <w:color w:val="auto"/>
        </w:rPr>
      </w:pPr>
    </w:p>
    <w:p>
      <w:pPr>
        <w:ind w:left="2100" w:right="399" w:hanging="335"/>
        <w:spacing w:after="0" w:line="284" w:lineRule="auto"/>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of common stock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their members, partners or shareholders;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of the registration statement of which this prospectus is a part is declared effective by the SEC;</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market transactions, including transactions on a national securities exchange or quotations service or over-the-counter market;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2" w:lineRule="exact"/>
        <w:rPr>
          <w:rFonts w:ascii="Times New Roman" w:cs="Times New Roman" w:eastAsia="Times New Roman" w:hAnsi="Times New Roman"/>
          <w:sz w:val="14"/>
          <w:szCs w:val="14"/>
          <w:color w:val="auto"/>
        </w:rPr>
      </w:pPr>
    </w:p>
    <w:p>
      <w:pPr>
        <w:ind w:left="2100" w:right="239" w:hanging="335"/>
        <w:spacing w:after="0" w:line="284" w:lineRule="auto"/>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of \ common stock at a stipulated price per share; and</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w:t>
      </w:r>
    </w:p>
    <w:p>
      <w:pPr>
        <w:spacing w:after="0" w:line="176" w:lineRule="exact"/>
        <w:rPr>
          <w:sz w:val="20"/>
          <w:szCs w:val="20"/>
          <w:color w:val="auto"/>
        </w:rPr>
      </w:pPr>
    </w:p>
    <w:p>
      <w:pPr>
        <w:ind w:left="1340" w:right="319"/>
        <w:spacing w:after="0" w:line="262" w:lineRule="auto"/>
        <w:rPr>
          <w:sz w:val="20"/>
          <w:szCs w:val="20"/>
          <w:color w:val="auto"/>
        </w:rPr>
      </w:pPr>
      <w:r>
        <w:rPr>
          <w:rFonts w:ascii="Times New Roman" w:cs="Times New Roman" w:eastAsia="Times New Roman" w:hAnsi="Times New Roman"/>
          <w:sz w:val="14"/>
          <w:szCs w:val="14"/>
          <w:color w:val="auto"/>
        </w:rPr>
        <w:t>A selling stockholder that is an entity may elect to make an in-kind distribution of common stock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pursuant to the distribution effected through this registration statement.</w:t>
      </w:r>
    </w:p>
    <w:p>
      <w:pPr>
        <w:spacing w:after="0" w:line="140" w:lineRule="exact"/>
        <w:rPr>
          <w:sz w:val="20"/>
          <w:szCs w:val="20"/>
          <w:color w:val="auto"/>
        </w:rPr>
      </w:pPr>
    </w:p>
    <w:p>
      <w:pPr>
        <w:ind w:left="1340" w:right="379"/>
        <w:spacing w:after="0" w:line="284" w:lineRule="auto"/>
        <w:rPr>
          <w:sz w:val="20"/>
          <w:szCs w:val="20"/>
          <w:color w:val="auto"/>
        </w:rPr>
      </w:pPr>
      <w:r>
        <w:rPr>
          <w:rFonts w:ascii="Times New Roman" w:cs="Times New Roman" w:eastAsia="Times New Roman" w:hAnsi="Times New Roman"/>
          <w:sz w:val="14"/>
          <w:szCs w:val="14"/>
          <w:color w:val="auto"/>
        </w:rPr>
        <w:t>Each time that we or any of the selling stockholders sell securities covered by this prospectus, we or the selling stockholders will provide a prospectus supplement or supplements that will describe the method of distribution and set forth the terms and conditions of the offering, including:</w:t>
      </w:r>
    </w:p>
    <w:p>
      <w:pPr>
        <w:spacing w:after="0" w:line="51" w:lineRule="exact"/>
        <w:rPr>
          <w:sz w:val="20"/>
          <w:szCs w:val="20"/>
          <w:color w:val="auto"/>
        </w:rPr>
      </w:pPr>
    </w:p>
    <w:p>
      <w:pPr>
        <w:ind w:left="2100" w:hanging="335"/>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1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Sale through underwriters or dealers</w:t>
      </w:r>
    </w:p>
    <w:p>
      <w:pPr>
        <w:spacing w:after="0" w:line="94" w:lineRule="exact"/>
        <w:rPr>
          <w:sz w:val="20"/>
          <w:szCs w:val="20"/>
          <w:color w:val="auto"/>
        </w:rPr>
      </w:pPr>
    </w:p>
    <w:p>
      <w:pPr>
        <w:ind w:left="1340" w:right="279"/>
        <w:spacing w:after="0" w:line="255" w:lineRule="auto"/>
        <w:rPr>
          <w:sz w:val="20"/>
          <w:szCs w:val="20"/>
          <w:color w:val="auto"/>
        </w:rPr>
      </w:pPr>
      <w:r>
        <w:rPr>
          <w:rFonts w:ascii="Times New Roman" w:cs="Times New Roman" w:eastAsia="Times New Roman" w:hAnsi="Times New Roman"/>
          <w:sz w:val="14"/>
          <w:szCs w:val="14"/>
          <w:color w:val="auto"/>
        </w:rPr>
        <w:t>If underwriters are used in a sale by us or a selling stockholder,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common stock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common stock if they purchase any of them. The underwriters may change from time to time any initial public offering price and any discounts or concessions allowed or reallowed or paid to dealers. The applicable prospectus supplement will include the names of the principal underwriters, the respective amount of the securities underwritten, the nature of the obligation of the underwriters to take the securities and the nature of any material relationship between an underwriter, us and any selling stockholder.</w:t>
      </w:r>
    </w:p>
    <w:p>
      <w:pPr>
        <w:spacing w:after="0" w:line="145" w:lineRule="exact"/>
        <w:rPr>
          <w:sz w:val="20"/>
          <w:szCs w:val="20"/>
          <w:color w:val="auto"/>
        </w:rPr>
      </w:pPr>
    </w:p>
    <w:p>
      <w:pPr>
        <w:ind w:left="1340" w:right="279"/>
        <w:spacing w:after="0" w:line="268" w:lineRule="auto"/>
        <w:rPr>
          <w:sz w:val="20"/>
          <w:szCs w:val="20"/>
          <w:color w:val="auto"/>
        </w:rPr>
      </w:pPr>
      <w:r>
        <w:rPr>
          <w:rFonts w:ascii="Times New Roman" w:cs="Times New Roman" w:eastAsia="Times New Roman" w:hAnsi="Times New Roman"/>
          <w:sz w:val="14"/>
          <w:szCs w:val="14"/>
          <w:color w:val="auto"/>
        </w:rPr>
        <w:t>If dealers are used in the sale of securities offered through this prospectus, we or a selling stockholder will sell the securities to them as principals. They may then resell the securities to the public at varying prices determined by the dealers at the time of resale. The applicable prospectus supplement will include the names of the dealers and the terms of the transaction.</w:t>
      </w:r>
    </w:p>
    <w:p>
      <w:pPr>
        <w:spacing w:after="0" w:line="135" w:lineRule="exact"/>
        <w:rPr>
          <w:sz w:val="20"/>
          <w:szCs w:val="20"/>
          <w:color w:val="auto"/>
        </w:rPr>
      </w:pPr>
    </w:p>
    <w:p>
      <w:pPr>
        <w:ind w:left="1340" w:right="259"/>
        <w:spacing w:after="0" w:line="258" w:lineRule="auto"/>
        <w:rPr>
          <w:sz w:val="20"/>
          <w:szCs w:val="20"/>
          <w:color w:val="auto"/>
        </w:rPr>
      </w:pPr>
      <w:r>
        <w:rPr>
          <w:rFonts w:ascii="Times New Roman" w:cs="Times New Roman" w:eastAsia="Times New Roman" w:hAnsi="Times New Roman"/>
          <w:sz w:val="14"/>
          <w:szCs w:val="14"/>
          <w:color w:val="auto"/>
        </w:rPr>
        <w:t>The selling stockholder and any underwriters, broker-dealers or agents that participate in the sale of our securities or interests therein may be “underwriters” within the meaning of Section 2(11) of the Securities Act. Any discounts, commissions, concessions or profit they earn on any resale of shares of our securities may be underwriting discounts and commissions under the Securities Act. If a selling stockholder is an “underwriter” within the meaning of Section 2(11) of the Securities Act, then the selling stockholder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Direct sales and sales through agents</w:t>
      </w:r>
    </w:p>
    <w:p>
      <w:pPr>
        <w:spacing w:after="0" w:line="94" w:lineRule="exact"/>
        <w:rPr>
          <w:sz w:val="20"/>
          <w:szCs w:val="20"/>
          <w:color w:val="auto"/>
        </w:rPr>
      </w:pPr>
    </w:p>
    <w:p>
      <w:pPr>
        <w:ind w:left="1340" w:right="259"/>
        <w:spacing w:after="0" w:line="262" w:lineRule="auto"/>
        <w:rPr>
          <w:sz w:val="20"/>
          <w:szCs w:val="20"/>
          <w:color w:val="auto"/>
        </w:rPr>
      </w:pPr>
      <w:r>
        <w:rPr>
          <w:rFonts w:ascii="Times New Roman" w:cs="Times New Roman" w:eastAsia="Times New Roman" w:hAnsi="Times New Roman"/>
          <w:sz w:val="14"/>
          <w:szCs w:val="14"/>
          <w:color w:val="auto"/>
        </w:rPr>
        <w:t>We or a selling stockholder may sell the securities offered through this prospectus directly. In this case, no underwriters or agents would be involved. Such common stock may also be sold through agents designated from time to time. The applicable prospectus supplement will name any agent involved in the offer or sale of the offered securities and will describe any commissions payable to the agent by us. Unless otherwise indicated in the applicable prospectus supplement, any agent will agree to use its reasonable best efforts to solicit purchases for the period of its appointment.</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39"/>
        <w:spacing w:after="0" w:line="268" w:lineRule="auto"/>
        <w:rPr>
          <w:sz w:val="20"/>
          <w:szCs w:val="20"/>
          <w:color w:val="auto"/>
        </w:rPr>
      </w:pPr>
      <w:r>
        <w:rPr>
          <w:rFonts w:ascii="Times New Roman" w:cs="Times New Roman" w:eastAsia="Times New Roman" w:hAnsi="Times New Roman"/>
          <w:sz w:val="14"/>
          <w:szCs w:val="14"/>
          <w:color w:val="auto"/>
        </w:rPr>
        <w:t>We or a selling stockholder may sell the securities directly to institutional investors or others who may be deemed to be underwriters within the meaning of the Securities Act with respect to any sale of those common stock. The terms of any such sales will be described in the applicable prospectus supplement.</w:t>
      </w:r>
    </w:p>
    <w:p>
      <w:pPr>
        <w:spacing w:after="0" w:line="135" w:lineRule="exact"/>
        <w:rPr>
          <w:sz w:val="20"/>
          <w:szCs w:val="20"/>
          <w:color w:val="auto"/>
        </w:rPr>
      </w:pPr>
    </w:p>
    <w:p>
      <w:pPr>
        <w:ind w:left="1340" w:right="519"/>
        <w:spacing w:after="0" w:line="268" w:lineRule="auto"/>
        <w:rPr>
          <w:sz w:val="20"/>
          <w:szCs w:val="20"/>
          <w:color w:val="auto"/>
        </w:rPr>
      </w:pPr>
      <w:r>
        <w:rPr>
          <w:rFonts w:ascii="Times New Roman" w:cs="Times New Roman" w:eastAsia="Times New Roman" w:hAnsi="Times New Roman"/>
          <w:sz w:val="14"/>
          <w:szCs w:val="14"/>
          <w:color w:val="auto"/>
        </w:rPr>
        <w:t>Selling stockholders also may resell a portion of our common stock in open market transactions in reliance upon Rule 144 under the Securities Act, provided that they meet the criteria and we and they conform to the requirements of that rule, or pursuant to other available exemptions from the registration requirements of the Securities Act.</w:t>
      </w:r>
    </w:p>
    <w:p>
      <w:pPr>
        <w:spacing w:after="0" w:line="135" w:lineRule="exact"/>
        <w:rPr>
          <w:sz w:val="20"/>
          <w:szCs w:val="20"/>
          <w:color w:val="auto"/>
        </w:rPr>
      </w:pPr>
    </w:p>
    <w:p>
      <w:pPr>
        <w:ind w:left="1340" w:right="259"/>
        <w:spacing w:after="0" w:line="258" w:lineRule="auto"/>
        <w:rPr>
          <w:sz w:val="20"/>
          <w:szCs w:val="20"/>
          <w:color w:val="auto"/>
        </w:rPr>
      </w:pPr>
      <w:r>
        <w:rPr>
          <w:rFonts w:ascii="Times New Roman" w:cs="Times New Roman" w:eastAsia="Times New Roman" w:hAnsi="Times New Roman"/>
          <w:sz w:val="14"/>
          <w:szCs w:val="14"/>
          <w:color w:val="auto"/>
        </w:rPr>
        <w:t>Selling stockholders may, from time to time, pledge or grant a security interest in some shares of our common stock owned by them and, if a selling stockholder defaults in the performance of its secured obligations, the pledgees or secured parties may offer and sell such shares of common stock from time to time, under this prospectus, or under an amendment or supplement to this prospectus amending the list of the selling stockholders to include the pledgee, transferee or other successors in interest as the selling stockholders under this prospectus. The selling stockholders also may transfer shares of our common stock in other circumstances, in which case the transferees, pledgees or other successors in interest will be the selling beneficial owners for purposes of this prospectus.</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Delayed delivery contracts</w:t>
      </w:r>
    </w:p>
    <w:p>
      <w:pPr>
        <w:spacing w:after="0" w:line="94" w:lineRule="exact"/>
        <w:rPr>
          <w:sz w:val="20"/>
          <w:szCs w:val="20"/>
          <w:color w:val="auto"/>
        </w:rPr>
      </w:pPr>
    </w:p>
    <w:p>
      <w:pPr>
        <w:jc w:val="both"/>
        <w:ind w:left="1340" w:right="219"/>
        <w:spacing w:after="0" w:line="262" w:lineRule="auto"/>
        <w:rPr>
          <w:sz w:val="20"/>
          <w:szCs w:val="20"/>
          <w:color w:val="auto"/>
        </w:rPr>
      </w:pPr>
      <w:r>
        <w:rPr>
          <w:rFonts w:ascii="Times New Roman" w:cs="Times New Roman" w:eastAsia="Times New Roman" w:hAnsi="Times New Roman"/>
          <w:sz w:val="14"/>
          <w:szCs w:val="14"/>
          <w:color w:val="auto"/>
        </w:rPr>
        <w:t>If the applicable prospectus supplement indicates, we or a selling stockholder may authorize agents, underwriters or dealers to solicit offers from certain types of institutions to purchase common stock at the public offering price under delayed delivery contracts. These contracts would provide for payment and delivery on a specified date in the future. The contracts would be subject only to those conditions described in the applicable prospectus supplement. The applicable prospectus supplement will describe the commission payable for solicitation of those contracts.</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Stabilization and other transactions</w:t>
      </w:r>
    </w:p>
    <w:p>
      <w:pPr>
        <w:spacing w:after="0" w:line="94" w:lineRule="exact"/>
        <w:rPr>
          <w:sz w:val="20"/>
          <w:szCs w:val="20"/>
          <w:color w:val="auto"/>
        </w:rPr>
      </w:pPr>
    </w:p>
    <w:p>
      <w:pPr>
        <w:ind w:left="1340" w:right="359"/>
        <w:spacing w:after="0" w:line="262" w:lineRule="auto"/>
        <w:rPr>
          <w:sz w:val="20"/>
          <w:szCs w:val="20"/>
          <w:color w:val="auto"/>
        </w:rPr>
      </w:pPr>
      <w:r>
        <w:rPr>
          <w:rFonts w:ascii="Times New Roman" w:cs="Times New Roman" w:eastAsia="Times New Roman" w:hAnsi="Times New Roman"/>
          <w:sz w:val="14"/>
          <w:szCs w:val="14"/>
          <w:color w:val="auto"/>
        </w:rPr>
        <w:t>Any underwriter we use in the sale of offered securities may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40" w:lineRule="exact"/>
        <w:rPr>
          <w:sz w:val="20"/>
          <w:szCs w:val="20"/>
          <w:color w:val="auto"/>
        </w:rPr>
      </w:pPr>
    </w:p>
    <w:p>
      <w:pPr>
        <w:ind w:left="1340" w:right="419"/>
        <w:spacing w:after="0" w:line="262" w:lineRule="auto"/>
        <w:rPr>
          <w:sz w:val="20"/>
          <w:szCs w:val="20"/>
          <w:color w:val="auto"/>
        </w:rPr>
      </w:pPr>
      <w:r>
        <w:rPr>
          <w:rFonts w:ascii="Times New Roman" w:cs="Times New Roman" w:eastAsia="Times New Roman" w:hAnsi="Times New Roman"/>
          <w:sz w:val="14"/>
          <w:szCs w:val="14"/>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Derivative transactions and hedging</w:t>
      </w:r>
    </w:p>
    <w:p>
      <w:pPr>
        <w:spacing w:after="0" w:line="94" w:lineRule="exact"/>
        <w:rPr>
          <w:sz w:val="20"/>
          <w:szCs w:val="20"/>
          <w:color w:val="auto"/>
        </w:rPr>
      </w:pPr>
    </w:p>
    <w:p>
      <w:pPr>
        <w:ind w:left="1340" w:right="259"/>
        <w:spacing w:after="0" w:line="256" w:lineRule="auto"/>
        <w:rPr>
          <w:sz w:val="20"/>
          <w:szCs w:val="20"/>
          <w:color w:val="auto"/>
        </w:rPr>
      </w:pPr>
      <w:r>
        <w:rPr>
          <w:rFonts w:ascii="Times New Roman" w:cs="Times New Roman" w:eastAsia="Times New Roman" w:hAnsi="Times New Roman"/>
          <w:sz w:val="14"/>
          <w:szCs w:val="14"/>
          <w:color w:val="auto"/>
        </w:rPr>
        <w:t>We, a selling stockholder, the underwriters or other agents may engage in derivative transactions involving our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common stock to the public, including short sales, or by lending the common stock in order to facilitate short sale transactions by others. The underwriters or agents may also use the securities purchased or borrowed from us or others (or, in the case of derivatives, common stock received from us in settlement of those derivatives) to directly or indirectly settle sales of the securities or close out any related open borrowings of the securities.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Electronic auctions</w:t>
      </w:r>
    </w:p>
    <w:p>
      <w:pPr>
        <w:spacing w:after="0" w:line="94" w:lineRule="exact"/>
        <w:rPr>
          <w:sz w:val="20"/>
          <w:szCs w:val="20"/>
          <w:color w:val="auto"/>
        </w:rPr>
      </w:pPr>
    </w:p>
    <w:p>
      <w:pPr>
        <w:ind w:left="1340" w:right="259"/>
        <w:spacing w:after="0" w:line="262" w:lineRule="auto"/>
        <w:rPr>
          <w:sz w:val="20"/>
          <w:szCs w:val="20"/>
          <w:color w:val="auto"/>
        </w:rPr>
      </w:pPr>
      <w:r>
        <w:rPr>
          <w:rFonts w:ascii="Times New Roman" w:cs="Times New Roman" w:eastAsia="Times New Roman" w:hAnsi="Times New Roman"/>
          <w:sz w:val="14"/>
          <w:szCs w:val="14"/>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40" w:lineRule="exact"/>
        <w:rPr>
          <w:sz w:val="20"/>
          <w:szCs w:val="20"/>
          <w:color w:val="auto"/>
        </w:rPr>
      </w:pPr>
    </w:p>
    <w:p>
      <w:pPr>
        <w:jc w:val="both"/>
        <w:ind w:left="1340" w:right="219"/>
        <w:spacing w:after="0" w:line="262" w:lineRule="auto"/>
        <w:rPr>
          <w:sz w:val="20"/>
          <w:szCs w:val="20"/>
          <w:color w:val="auto"/>
        </w:rPr>
      </w:pPr>
      <w:r>
        <w:rPr>
          <w:rFonts w:ascii="Times New Roman" w:cs="Times New Roman" w:eastAsia="Times New Roman" w:hAnsi="Times New Roman"/>
          <w:sz w:val="14"/>
          <w:szCs w:val="14"/>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40" w:lineRule="exact"/>
        <w:rPr>
          <w:sz w:val="20"/>
          <w:szCs w:val="20"/>
          <w:color w:val="auto"/>
        </w:rPr>
      </w:pPr>
    </w:p>
    <w:p>
      <w:pPr>
        <w:jc w:val="both"/>
        <w:ind w:left="1340" w:right="299"/>
        <w:spacing w:after="0" w:line="268" w:lineRule="auto"/>
        <w:rPr>
          <w:sz w:val="20"/>
          <w:szCs w:val="20"/>
          <w:color w:val="auto"/>
        </w:rPr>
      </w:pPr>
      <w:r>
        <w:rPr>
          <w:rFonts w:ascii="Times New Roman" w:cs="Times New Roman" w:eastAsia="Times New Roman" w:hAnsi="Times New Roman"/>
          <w:sz w:val="14"/>
          <w:szCs w:val="14"/>
          <w:color w:val="auto"/>
        </w:rPr>
        <w:t>Upon completion of such an electronic auction process, securities will be allocated based on prices bid, terms of bid or other factors. The final offering price at which common stock would be sold and the allocation of common stock among bidders would be based in whole or in part on the results of the Internet or other electronic bidding process or auction.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8" w:lineRule="exact"/>
        <w:rPr>
          <w:sz w:val="20"/>
          <w:szCs w:val="20"/>
          <w:color w:val="auto"/>
        </w:rPr>
      </w:pPr>
    </w:p>
    <w:p>
      <w:pPr>
        <w:ind w:left="1340" w:right="279"/>
        <w:spacing w:after="0" w:line="262" w:lineRule="auto"/>
        <w:rPr>
          <w:sz w:val="20"/>
          <w:szCs w:val="20"/>
          <w:color w:val="auto"/>
        </w:rPr>
      </w:pPr>
      <w:r>
        <w:rPr>
          <w:rFonts w:ascii="Times New Roman" w:cs="Times New Roman" w:eastAsia="Times New Roman" w:hAnsi="Times New Roman"/>
          <w:sz w:val="14"/>
          <w:szCs w:val="14"/>
          <w:color w:val="auto"/>
        </w:rPr>
        <w:t>This prospectus contains a summary of our capital stock, and the preferred stock, debt securities, and warrants that may be issued in the future. These summaries are not meant to be a complete description of each security. The particular terms of any security to be issued pursuant hereto will be set forth in a related prospectus supplement. This prospectus and the accompanying prospectus supplement will contain the material terms and conditions for each security.</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8" w:lineRule="exact"/>
        <w:rPr>
          <w:sz w:val="20"/>
          <w:szCs w:val="20"/>
          <w:color w:val="auto"/>
        </w:rPr>
      </w:pPr>
    </w:p>
    <w:p>
      <w:pPr>
        <w:ind w:left="1340" w:right="259"/>
        <w:spacing w:after="0" w:line="259" w:lineRule="auto"/>
        <w:rPr>
          <w:sz w:val="20"/>
          <w:szCs w:val="20"/>
          <w:color w:val="auto"/>
        </w:rPr>
      </w:pPr>
      <w:r>
        <w:rPr>
          <w:rFonts w:ascii="Times New Roman" w:cs="Times New Roman" w:eastAsia="Times New Roman" w:hAnsi="Times New Roman"/>
          <w:sz w:val="14"/>
          <w:szCs w:val="14"/>
          <w:color w:val="auto"/>
        </w:rPr>
        <w:t>The following summary of the material terms of our capital stock is not intended to be a complete summary of the rights and preferences of such securities. Because it is only a summary, it may not contain all the information that is important to an investor in our securities. Defined terms used and not defined herein shall have the meaning ascribed to such terms in our Annual Report on Form 10-K. We urge you to read our Second Amended and Restated Certificate of Incorporation (“Certificate of Incorporation”) in its entirety for a complete description of the rights and preferences of our capital stock.</w:t>
      </w:r>
    </w:p>
    <w:p>
      <w:pPr>
        <w:spacing w:after="0" w:line="143" w:lineRule="exact"/>
        <w:rPr>
          <w:sz w:val="20"/>
          <w:szCs w:val="20"/>
          <w:color w:val="auto"/>
        </w:rPr>
      </w:pPr>
    </w:p>
    <w:p>
      <w:pPr>
        <w:ind w:left="1340" w:right="339"/>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422,000,000 shares of common stock, $0.0001 par value per share and 10,000,000 shares of preferred stock, $0.0001 par value. The following description of our capital stock does not purport to be complete and is subject to, and qualified in its entirety by, our Certificate of Incorporation and amended and restated bylaws, each of which is incorporated by reference as an exhibit to our Annual Report on Form 10-K.</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Voting Power</w:t>
      </w:r>
    </w:p>
    <w:p>
      <w:pPr>
        <w:spacing w:after="0" w:line="94" w:lineRule="exact"/>
        <w:rPr>
          <w:sz w:val="20"/>
          <w:szCs w:val="20"/>
          <w:color w:val="auto"/>
        </w:rPr>
      </w:pPr>
    </w:p>
    <w:p>
      <w:pPr>
        <w:ind w:left="1340" w:right="219"/>
        <w:spacing w:after="0" w:line="256"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Preferred Stock Designation, the holders of the common stock possess all voting power for the election of our directors and all other matters submitted to a vote of stockholders of ours. Holders of the common stock have one vote in respect of each share of stock held by such holder on matters to be voted on by stockholders. Except as otherwise required by law, holders of the common stock, as such, are not be entitled to vote on any amendment to the Certificate of Incorporation (including any resolutions adopted by our Board of Directors approving the issue of preferred stock (a “Preferred Stock Designation”)) that relates solely to the rights, powers, preferences or other terms of one or more outstanding series of our preferred stock if the holders of such affected series of our preferred stock are entitled to vote on such amendment pursuant to the Certificate of Incorporation (including any Preferred Stock Designation) or pursuant to the Delaware General Corporation Law (the “DGCL”).</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4" w:lineRule="exact"/>
        <w:rPr>
          <w:sz w:val="20"/>
          <w:szCs w:val="20"/>
          <w:color w:val="auto"/>
        </w:rPr>
      </w:pPr>
    </w:p>
    <w:p>
      <w:pPr>
        <w:ind w:left="1340" w:right="459"/>
        <w:spacing w:after="0" w:line="268" w:lineRule="auto"/>
        <w:rPr>
          <w:sz w:val="20"/>
          <w:szCs w:val="20"/>
          <w:color w:val="auto"/>
        </w:rPr>
      </w:pPr>
      <w:r>
        <w:rPr>
          <w:rFonts w:ascii="Times New Roman" w:cs="Times New Roman" w:eastAsia="Times New Roman" w:hAnsi="Times New Roman"/>
          <w:sz w:val="14"/>
          <w:szCs w:val="14"/>
          <w:color w:val="auto"/>
        </w:rPr>
        <w:t>Subject to applicable law and the rights and preferences of any holders of any outstanding series of preferred stock of the Company, holders of the common stock are entitled to receive dividends when, as and if declared by our Board of Directors, payable either in cash, in property or in shares of capital stock.</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Liquidation, Dissolution and Winding Up</w:t>
      </w:r>
    </w:p>
    <w:p>
      <w:pPr>
        <w:spacing w:after="0" w:line="94" w:lineRule="exact"/>
        <w:rPr>
          <w:sz w:val="20"/>
          <w:szCs w:val="20"/>
          <w:color w:val="auto"/>
        </w:rPr>
      </w:pPr>
    </w:p>
    <w:p>
      <w:pPr>
        <w:ind w:left="1340" w:right="279"/>
        <w:spacing w:after="0" w:line="268"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to any holders of our preferred stock having liquidation preferences, if any, the holders of the common stock are entitled to receive pro rata our remaining assets available for distribution.</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Preemptive or Other Rights</w:t>
      </w:r>
    </w:p>
    <w:p>
      <w:pPr>
        <w:spacing w:after="0" w:line="94" w:lineRule="exact"/>
        <w:rPr>
          <w:sz w:val="20"/>
          <w:szCs w:val="20"/>
          <w:color w:val="auto"/>
        </w:rPr>
      </w:pPr>
    </w:p>
    <w:p>
      <w:pPr>
        <w:ind w:left="1340" w:right="219"/>
        <w:spacing w:after="0" w:line="259" w:lineRule="auto"/>
        <w:rPr>
          <w:sz w:val="20"/>
          <w:szCs w:val="20"/>
          <w:color w:val="auto"/>
        </w:rPr>
      </w:pPr>
      <w:r>
        <w:rPr>
          <w:rFonts w:ascii="Times New Roman" w:cs="Times New Roman" w:eastAsia="Times New Roman" w:hAnsi="Times New Roman"/>
          <w:sz w:val="14"/>
          <w:szCs w:val="14"/>
          <w:color w:val="auto"/>
        </w:rPr>
        <w:t>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and there are no conversion, sinking fund or redemption rights, or rights to subscribe for any of our securities. The rights, powers, preferences and privileges of holders of the common stock are subject to those of the holders of any shares of our preferred stock that our Board of Directors may authorize and issue in the future.</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Election of Directors</w:t>
      </w:r>
    </w:p>
    <w:p>
      <w:pPr>
        <w:spacing w:after="0" w:line="94" w:lineRule="exact"/>
        <w:rPr>
          <w:sz w:val="20"/>
          <w:szCs w:val="20"/>
          <w:color w:val="auto"/>
        </w:rPr>
      </w:pPr>
    </w:p>
    <w:p>
      <w:pPr>
        <w:ind w:left="1340" w:right="219"/>
        <w:spacing w:after="0" w:line="284" w:lineRule="auto"/>
        <w:rPr>
          <w:sz w:val="20"/>
          <w:szCs w:val="20"/>
          <w:color w:val="auto"/>
        </w:rPr>
      </w:pPr>
      <w:r>
        <w:rPr>
          <w:rFonts w:ascii="Times New Roman" w:cs="Times New Roman" w:eastAsia="Times New Roman" w:hAnsi="Times New Roman"/>
          <w:sz w:val="14"/>
          <w:szCs w:val="14"/>
          <w:color w:val="auto"/>
        </w:rPr>
        <w:t>Our Board of Directors is divided into three classes, each of which generally serve for a term of three years with only one class of directors being elected in each year. There is no cumulative voting with respect to the election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of directors, with the result that the holders of more than 50% of the shares voted for the election of directors can elect all of the directors.</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Classified Board of Directors</w:t>
      </w:r>
    </w:p>
    <w:p>
      <w:pPr>
        <w:spacing w:after="0" w:line="94" w:lineRule="exact"/>
        <w:rPr>
          <w:sz w:val="20"/>
          <w:szCs w:val="20"/>
          <w:color w:val="auto"/>
        </w:rPr>
      </w:pPr>
    </w:p>
    <w:p>
      <w:pPr>
        <w:ind w:left="1340" w:right="239"/>
        <w:spacing w:after="0" w:line="268" w:lineRule="auto"/>
        <w:rPr>
          <w:sz w:val="20"/>
          <w:szCs w:val="20"/>
          <w:color w:val="auto"/>
        </w:rPr>
      </w:pPr>
      <w:r>
        <w:rPr>
          <w:rFonts w:ascii="Times New Roman" w:cs="Times New Roman" w:eastAsia="Times New Roman" w:hAnsi="Times New Roman"/>
          <w:sz w:val="14"/>
          <w:szCs w:val="14"/>
          <w:color w:val="auto"/>
        </w:rPr>
        <w:t>Our Certificate of Incorporation provides that our Board of Directors is divided into three classes of directors, with the classes to be as nearly equal in number as possible, and with each director serving a three-year term. As a result, approximately one-third of our Board of Directors is elected each year. The classification of directors has the effect of making it more difficult for stockholders to change the composition of our Board of Directors.</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Authorized but Unissued Shares</w:t>
      </w:r>
    </w:p>
    <w:p>
      <w:pPr>
        <w:spacing w:after="0" w:line="94" w:lineRule="exact"/>
        <w:rPr>
          <w:sz w:val="20"/>
          <w:szCs w:val="20"/>
          <w:color w:val="auto"/>
        </w:rPr>
      </w:pPr>
    </w:p>
    <w:p>
      <w:pPr>
        <w:ind w:left="1340" w:right="299"/>
        <w:spacing w:after="0" w:line="262" w:lineRule="auto"/>
        <w:rPr>
          <w:sz w:val="20"/>
          <w:szCs w:val="20"/>
          <w:color w:val="auto"/>
        </w:rPr>
      </w:pPr>
      <w:r>
        <w:rPr>
          <w:rFonts w:ascii="Times New Roman" w:cs="Times New Roman" w:eastAsia="Times New Roman" w:hAnsi="Times New Roman"/>
          <w:sz w:val="14"/>
          <w:szCs w:val="14"/>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Stockholder Action; Special Meetings of Stockholders</w:t>
      </w:r>
    </w:p>
    <w:p>
      <w:pPr>
        <w:spacing w:after="0" w:line="94" w:lineRule="exact"/>
        <w:rPr>
          <w:sz w:val="20"/>
          <w:szCs w:val="20"/>
          <w:color w:val="auto"/>
        </w:rPr>
      </w:pPr>
    </w:p>
    <w:p>
      <w:pPr>
        <w:ind w:left="1340" w:right="219"/>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provides that stockholders may not take action by written consent, but may only take action at annual or special meetings of stockholders. As a result, a holder controlling a majority of our capital stock would not be able to amend our Bylaws or remove directors without holding a meeting of stockholders called in accordance with our Bylaws. This restriction does not apply to actions taken by the holders of any series of preferred stock of ours to the extent expressly provided in the applicable Preferred Stock Designation. Further, our Certificate of Incorporation provides that, subject to any special rights of the holders of preferred stock, only our Board of Directors, the chairperson of our Board of Directors or the chief executive officer of the Company’s may call special meetings of stockholders, thus prohibiting a holder of our common stock from calling a special meeting. These provisions might delay the ability of stockholders to force consideration of a proposal or for stockholders controlling a majority of our capital stock to take any action, including the removal of directors.</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94" w:lineRule="exact"/>
        <w:rPr>
          <w:sz w:val="20"/>
          <w:szCs w:val="20"/>
          <w:color w:val="auto"/>
        </w:rPr>
      </w:pPr>
    </w:p>
    <w:p>
      <w:pPr>
        <w:ind w:left="1340" w:right="319"/>
        <w:spacing w:after="0" w:line="255" w:lineRule="auto"/>
        <w:rPr>
          <w:sz w:val="20"/>
          <w:szCs w:val="20"/>
          <w:color w:val="auto"/>
        </w:rPr>
      </w:pPr>
      <w:r>
        <w:rPr>
          <w:rFonts w:ascii="Times New Roman" w:cs="Times New Roman" w:eastAsia="Times New Roman" w:hAnsi="Times New Roman"/>
          <w:sz w:val="14"/>
          <w:szCs w:val="14"/>
          <w:color w:val="auto"/>
        </w:rPr>
        <w:t>Our Bylaws provide that stockholders seeking to bring business before our annual meeting of stockholders, or to nominate candidates for election as directors at its annual meeting of stockholders, must provide timely notice. To be timely, a stockholder’s notice will need to be delivered to, or mailed and received at, our principal executive offices not less than 90 days nor more than 120 days prior to the one-year anniversary of the preceding year’s annual meeting, except in the case of a special meeting to nominate candidates for election as directors, timely notice shall not less than the later of 90 days prior to the special meeting or the 10th day following the day on which public disclosure of the date of the special meeting is first made by us). In the event that the date of the annual meeting is more than 30 days before or more than 60 days after such anniversary date, to be timely, a stockholder’s notice must be so delivered, or mailed and received, not later than the 90th day prior to such annual meeting or, if later, the 10th day following the day on which public disclosure of the date of such annual meeting was first made by us. Our Bylaws also specify certain requirements as to the form and content of a stockholders’ notice. These provisions may preclude our stockholders from bringing matters before its annual meeting of stockholders or from making nominations for directors at its annual meeting of stockholders.</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Amendment of Charter or Bylaws</w:t>
      </w:r>
    </w:p>
    <w:p>
      <w:pPr>
        <w:spacing w:after="0" w:line="24" w:lineRule="exact"/>
        <w:rPr>
          <w:sz w:val="20"/>
          <w:szCs w:val="20"/>
          <w:color w:val="auto"/>
        </w:rPr>
      </w:pPr>
    </w:p>
    <w:p>
      <w:pPr>
        <w:ind w:left="1340" w:right="239"/>
        <w:spacing w:after="0" w:line="268" w:lineRule="auto"/>
        <w:rPr>
          <w:sz w:val="20"/>
          <w:szCs w:val="20"/>
          <w:color w:val="auto"/>
        </w:rPr>
      </w:pPr>
      <w:r>
        <w:rPr>
          <w:rFonts w:ascii="Times New Roman" w:cs="Times New Roman" w:eastAsia="Times New Roman" w:hAnsi="Times New Roman"/>
          <w:sz w:val="14"/>
          <w:szCs w:val="14"/>
          <w:color w:val="auto"/>
        </w:rPr>
        <w:t>Our Bylaws may be amended or repealed by our Board of Directors or by the affirmative vote of the holders of at least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of the voting power of all of the shares of our capital stock entitled to vote in the election of</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168" w:lineRule="exact"/>
        <w:rPr>
          <w:sz w:val="20"/>
          <w:szCs w:val="20"/>
          <w:color w:val="auto"/>
        </w:rPr>
      </w:pPr>
    </w:p>
    <w:p>
      <w:pPr>
        <w:ind w:left="1340" w:right="299"/>
        <w:spacing w:after="0" w:line="264" w:lineRule="auto"/>
        <w:rPr>
          <w:sz w:val="20"/>
          <w:szCs w:val="20"/>
          <w:color w:val="auto"/>
        </w:rPr>
      </w:pPr>
      <w:r>
        <w:rPr>
          <w:rFonts w:ascii="Times New Roman" w:cs="Times New Roman" w:eastAsia="Times New Roman" w:hAnsi="Times New Roman"/>
          <w:sz w:val="14"/>
          <w:szCs w:val="14"/>
          <w:color w:val="auto"/>
        </w:rPr>
        <w:t>directors, voting as one class. The affirmative vote of the holders of at least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of the voting power of the then outstanding shares of our capital stock entitled to vote generally in the election of directors, voting together as a single class, is required to amend certain provisions of our Certificate of Incorporation.</w:t>
      </w:r>
    </w:p>
    <w:p>
      <w:pPr>
        <w:spacing w:after="0" w:line="2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Board Vacancies</w:t>
      </w:r>
    </w:p>
    <w:p>
      <w:pPr>
        <w:spacing w:after="0" w:line="94" w:lineRule="exact"/>
        <w:rPr>
          <w:sz w:val="20"/>
          <w:szCs w:val="20"/>
          <w:color w:val="auto"/>
        </w:rPr>
      </w:pPr>
    </w:p>
    <w:p>
      <w:pPr>
        <w:ind w:left="1340" w:right="259"/>
        <w:spacing w:after="0" w:line="259" w:lineRule="auto"/>
        <w:rPr>
          <w:sz w:val="20"/>
          <w:szCs w:val="20"/>
          <w:color w:val="auto"/>
        </w:rPr>
      </w:pPr>
      <w:r>
        <w:rPr>
          <w:rFonts w:ascii="Times New Roman" w:cs="Times New Roman" w:eastAsia="Times New Roman" w:hAnsi="Times New Roman"/>
          <w:sz w:val="14"/>
          <w:szCs w:val="14"/>
          <w:color w:val="auto"/>
        </w:rPr>
        <w:t>Any vacancy on our Board of Directors may be filled by a majority vote of the directors then in office, although less than a quorum, or by a sole remaining director, subject to any special rights of the holders of preferred stock. Any director chosen to fill a vacancy will hold office until the expiration of the term of the class for which he or she was elected and until his or her successor is duly elected and qualified or until their earlier resignation, removal from office, death or incapacity. Except as otherwise provided by law, the Stockholders Agreement or our Bylaws, in the event of a vacancy in our Board of Directors, the remaining directors may exercise the powers of our full Board of Directors until the vacancy is filled.</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Exclusive Forum Selection</w:t>
      </w:r>
    </w:p>
    <w:p>
      <w:pPr>
        <w:spacing w:after="0" w:line="94" w:lineRule="exact"/>
        <w:rPr>
          <w:sz w:val="20"/>
          <w:szCs w:val="20"/>
          <w:color w:val="auto"/>
        </w:rPr>
      </w:pPr>
    </w:p>
    <w:p>
      <w:pPr>
        <w:ind w:left="1340" w:right="219"/>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provides that unless we consent in writing to the selection of an alternative forum, the Court of Chancery of the State of Delaware will, to the fullest extent permitted by applicable law, be the sole and exclusive forum for: (i) any derivative action brought by a stockholder on our behalf, (ii) any action asserting a claim of breach of a fiduciary duty owed by any of our directors, officers or stockholders, (iii) any action arising under our Certificate of Incorporation, our Bylaws or the DGCL or (iv) any action asserting a claim against us governed by the internal affairs doctrine. Any person or entity purchasing or otherwise acquiring any interest in shares of our capital stock is deemed to have notice of and consented to the exclusive forum provisions in the Certificate of Incorporation. In addition, the Certificate of Incorporation designates the federal district courts of the United States of America as the exclusive forum for the resolution of any complaint asserting a cause of action arising under the Securities Act.</w:t>
      </w:r>
    </w:p>
    <w:p>
      <w:pPr>
        <w:spacing w:after="0" w:line="147" w:lineRule="exact"/>
        <w:rPr>
          <w:sz w:val="20"/>
          <w:szCs w:val="20"/>
          <w:color w:val="auto"/>
        </w:rPr>
      </w:pPr>
    </w:p>
    <w:p>
      <w:pPr>
        <w:ind w:left="1340" w:right="319"/>
        <w:spacing w:after="0" w:line="268" w:lineRule="auto"/>
        <w:rPr>
          <w:sz w:val="20"/>
          <w:szCs w:val="20"/>
          <w:color w:val="auto"/>
        </w:rPr>
      </w:pPr>
      <w:r>
        <w:rPr>
          <w:rFonts w:ascii="Times New Roman" w:cs="Times New Roman" w:eastAsia="Times New Roman" w:hAnsi="Times New Roman"/>
          <w:sz w:val="14"/>
          <w:szCs w:val="14"/>
          <w:color w:val="auto"/>
        </w:rPr>
        <w:t>Section 27 of the Exchange Act creates exclusive federal jurisdiction over all suits brought to enforce any duty or liability created by the Exchange Act or the rules and regulations thereunder. As a result, the exclusive forum provision in the Certificate of Incorporation will not apply to suits brought to enforce any duty or liability created by the Exchange Act or any other claim for which the federal courts have exclusive jurisdiction.</w:t>
      </w:r>
    </w:p>
    <w:p>
      <w:pPr>
        <w:spacing w:after="0" w:line="135" w:lineRule="exact"/>
        <w:rPr>
          <w:sz w:val="20"/>
          <w:szCs w:val="20"/>
          <w:color w:val="auto"/>
        </w:rPr>
      </w:pPr>
    </w:p>
    <w:p>
      <w:pPr>
        <w:ind w:left="1340" w:right="279"/>
        <w:spacing w:after="0" w:line="262" w:lineRule="auto"/>
        <w:rPr>
          <w:sz w:val="20"/>
          <w:szCs w:val="20"/>
          <w:color w:val="auto"/>
        </w:rPr>
      </w:pPr>
      <w:r>
        <w:rPr>
          <w:rFonts w:ascii="Times New Roman" w:cs="Times New Roman" w:eastAsia="Times New Roman" w:hAnsi="Times New Roman"/>
          <w:sz w:val="14"/>
          <w:szCs w:val="14"/>
          <w:color w:val="auto"/>
        </w:rPr>
        <w:t>Although we believe these provisions benefit us by providing increased consistency in the application of Delaware law in the types of lawsuits to which it applies, a court may determine that these provisions are unenforceable, and to the extent they are enforceable, the provisions may have the effect of discouraging lawsuits against our directors and officers, although our stockholders shall not be deemed to have waived its compliance with federal securities laws and the rules and regulations thereunder.</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are subject to the provisions of Section 203 of the DGCL. In general, Section 203 prohibits a Delaware corporation that is listed on a national</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securities exchange or held of record by more than 2,000 stockholders from engaging in a “business combination” with an “interested stockholder” for a</w:t>
      </w:r>
    </w:p>
    <w:p>
      <w:pPr>
        <w:spacing w:after="0" w:line="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three-year period following the time that such stockholder becomes an interested stockholder, unless the business combination is approved in a</w:t>
      </w:r>
    </w:p>
    <w:p>
      <w:pPr>
        <w:spacing w:after="0" w:line="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prescribed manner. A “business combination” includes, among other things, certain mergers, asset or stock sales or other transactions resulting in a</w:t>
      </w:r>
    </w:p>
    <w:p>
      <w:pPr>
        <w:spacing w:after="0" w:line="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financial benefit to the interested stockholder. An “interested stockholder” is a person who, together with affiliates and associates, owns, or did own</w:t>
      </w:r>
    </w:p>
    <w:p>
      <w:pPr>
        <w:spacing w:after="0" w:line="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within three years prior to the determination of interested stockholder status, 15% or more of the corporation’s outstanding voting stock. Under</w:t>
      </w:r>
    </w:p>
    <w:p>
      <w:pPr>
        <w:spacing w:after="0" w:line="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Section 203, a business combination between a corporation and an interested stockholder is prohibited unless it satisfies one of the following conditions:</w:t>
      </w:r>
    </w:p>
    <w:p>
      <w:pPr>
        <w:spacing w:after="0" w:line="88" w:lineRule="exact"/>
        <w:rPr>
          <w:sz w:val="20"/>
          <w:szCs w:val="20"/>
          <w:color w:val="auto"/>
        </w:rPr>
      </w:pPr>
    </w:p>
    <w:p>
      <w:pPr>
        <w:ind w:left="2100" w:right="239" w:hanging="335"/>
        <w:spacing w:after="0" w:line="284"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approved either the business combination or the transaction which resulted in the stockholder becoming an interested stockholder;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right="279" w:hanging="335"/>
        <w:spacing w:after="0" w:line="262" w:lineRule="auto"/>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66" w:lineRule="exact"/>
        <w:rPr>
          <w:rFonts w:ascii="Times New Roman" w:cs="Times New Roman" w:eastAsia="Times New Roman" w:hAnsi="Times New Roman"/>
          <w:sz w:val="14"/>
          <w:szCs w:val="14"/>
          <w:color w:val="auto"/>
        </w:rPr>
      </w:pPr>
    </w:p>
    <w:p>
      <w:pPr>
        <w:ind w:left="2100" w:right="319" w:hanging="335"/>
        <w:spacing w:after="0" w:line="268" w:lineRule="auto"/>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of the corporation and authorized at an annual or special meeting of the stockholders by the affirmative vote of at least 66 2/3% of the outstanding voting stock which is not owned by the interested stockholder.</w:t>
      </w:r>
    </w:p>
    <w:p>
      <w:pPr>
        <w:spacing w:after="0" w:line="135" w:lineRule="exact"/>
        <w:rPr>
          <w:sz w:val="20"/>
          <w:szCs w:val="20"/>
          <w:color w:val="auto"/>
        </w:rPr>
      </w:pPr>
    </w:p>
    <w:p>
      <w:pPr>
        <w:ind w:left="1340" w:right="279"/>
        <w:spacing w:after="0" w:line="258" w:lineRule="auto"/>
        <w:rPr>
          <w:sz w:val="20"/>
          <w:szCs w:val="20"/>
          <w:color w:val="auto"/>
        </w:rPr>
      </w:pPr>
      <w:r>
        <w:rPr>
          <w:rFonts w:ascii="Times New Roman" w:cs="Times New Roman" w:eastAsia="Times New Roman" w:hAnsi="Times New Roman"/>
          <w:sz w:val="14"/>
          <w:szCs w:val="14"/>
          <w:color w:val="auto"/>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Section 203 of the DGCL also may have the effect of preventing changes in our Board of Directors and may make it more difficult to accomplish transactions which stockholders may otherwise deem to be in their best interests.</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Preferred Stock – Limitations on Rights of Holders of Common Stock</w:t>
      </w:r>
    </w:p>
    <w:p>
      <w:pPr>
        <w:spacing w:after="0" w:line="94" w:lineRule="exact"/>
        <w:rPr>
          <w:sz w:val="20"/>
          <w:szCs w:val="20"/>
          <w:color w:val="auto"/>
        </w:rPr>
      </w:pPr>
    </w:p>
    <w:p>
      <w:pPr>
        <w:ind w:left="1340" w:right="319"/>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provides that shares of our preferred stock may be issued from time to time in one or more series. Our Board of Directors is authorized to establish the voting rights, if any, designations, preferences and relative, participating, optional or other special rights of the shares of such series, and the qualifications, limitations or restrictions thereof, applicable to the shares of each series of our preferred stock. Our Board of Directors is able to, without stockholder approval, issue our preferred stock with voting and other rights that could adversely affect the voting power and other rights of the holders of our common stock and could have anti-takeover effects. The ability of our Board of Directors to issue our preferred stock without stockholder approval could have the effect of delaying, deferring or preventing a change of control of us or the removal of existing management.</w:t>
      </w:r>
    </w:p>
    <w:p>
      <w:pPr>
        <w:spacing w:after="0" w:line="2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Our common stock is currently listed on the Nasdaq Global Select Market under the symbol “AEVA”.</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Continental Stock Transfer &amp; Trust Company.</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Limitation on Liability and Indemnification of Directors and Officers</w:t>
      </w:r>
    </w:p>
    <w:p>
      <w:pPr>
        <w:spacing w:after="0" w:line="94" w:lineRule="exact"/>
        <w:rPr>
          <w:sz w:val="20"/>
          <w:szCs w:val="20"/>
          <w:color w:val="auto"/>
        </w:rPr>
      </w:pPr>
    </w:p>
    <w:p>
      <w:pPr>
        <w:jc w:val="both"/>
        <w:ind w:left="1340" w:right="399"/>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provides that our directors and officers are indemnified and advanced expenses by the Company to the fullest extent authorized or permitted by the DGCL as it now exists or may in the future be amended. In addition, the Certificate of Incorporation provides that our directors will not be personally liable to the Company or its stockholders for monetary damages for breaches of their fiduciary duty as directors to the fullest extent permitted by the DGCL.</w:t>
      </w:r>
    </w:p>
    <w:p>
      <w:pPr>
        <w:spacing w:after="0" w:line="140" w:lineRule="exact"/>
        <w:rPr>
          <w:sz w:val="20"/>
          <w:szCs w:val="20"/>
          <w:color w:val="auto"/>
        </w:rPr>
      </w:pPr>
    </w:p>
    <w:p>
      <w:pPr>
        <w:ind w:left="1340" w:right="299"/>
        <w:spacing w:after="0" w:line="284" w:lineRule="auto"/>
        <w:rPr>
          <w:sz w:val="20"/>
          <w:szCs w:val="20"/>
          <w:color w:val="auto"/>
        </w:rPr>
      </w:pPr>
      <w:r>
        <w:rPr>
          <w:rFonts w:ascii="Times New Roman" w:cs="Times New Roman" w:eastAsia="Times New Roman" w:hAnsi="Times New Roman"/>
          <w:sz w:val="14"/>
          <w:szCs w:val="14"/>
          <w:color w:val="auto"/>
        </w:rPr>
        <w:t>The Certificate of Incorporation also permits us to purchase and maintain insurance on behalf of any officer, director, employee or agent of ours for any liability arising out of his or her status as such, regardless of whether the DGCL would permit indemnification.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19"/>
        <w:spacing w:after="0" w:line="259"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43" w:lineRule="exact"/>
        <w:rPr>
          <w:sz w:val="20"/>
          <w:szCs w:val="20"/>
          <w:color w:val="auto"/>
        </w:rPr>
      </w:pPr>
    </w:p>
    <w:p>
      <w:pPr>
        <w:ind w:left="1340" w:right="219"/>
        <w:spacing w:after="0" w:line="26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8" w:lineRule="exact"/>
        <w:rPr>
          <w:sz w:val="20"/>
          <w:szCs w:val="20"/>
          <w:color w:val="auto"/>
        </w:rPr>
      </w:pPr>
    </w:p>
    <w:p>
      <w:pPr>
        <w:ind w:left="1340" w:right="279"/>
        <w:spacing w:after="0" w:line="259" w:lineRule="auto"/>
        <w:rPr>
          <w:sz w:val="20"/>
          <w:szCs w:val="20"/>
          <w:color w:val="auto"/>
        </w:rPr>
      </w:pPr>
      <w:r>
        <w:rPr>
          <w:rFonts w:ascii="Times New Roman" w:cs="Times New Roman" w:eastAsia="Times New Roman" w:hAnsi="Times New Roman"/>
          <w:sz w:val="14"/>
          <w:szCs w:val="14"/>
          <w:color w:val="auto"/>
        </w:rPr>
        <w:t>We have summarized below general terms and conditions of the debt securities that we may offer and sell pursuant to this prospectus. When we offer to sell a particular series of debt securities, we will describe the specific terms and conditions of the series in a prospectus supplement to this prospectus. We will also indicate in the applicable prospectus supplement whether the general terms and conditions described in this prospectus apply to the series of debt securities. The terms and conditions of the debt securities of a series may be different in one or more respects from the terms and conditions described below. If so, those differences will be described in the applicable prospectus supplement.</w:t>
      </w:r>
    </w:p>
    <w:p>
      <w:pPr>
        <w:spacing w:after="0" w:line="143" w:lineRule="exact"/>
        <w:rPr>
          <w:sz w:val="20"/>
          <w:szCs w:val="20"/>
          <w:color w:val="auto"/>
        </w:rPr>
      </w:pPr>
    </w:p>
    <w:p>
      <w:pPr>
        <w:ind w:left="1340" w:right="339"/>
        <w:spacing w:after="0" w:line="258" w:lineRule="auto"/>
        <w:rPr>
          <w:sz w:val="20"/>
          <w:szCs w:val="20"/>
          <w:color w:val="auto"/>
        </w:rPr>
      </w:pPr>
      <w:r>
        <w:rPr>
          <w:rFonts w:ascii="Times New Roman" w:cs="Times New Roman" w:eastAsia="Times New Roman" w:hAnsi="Times New Roman"/>
          <w:sz w:val="14"/>
          <w:szCs w:val="14"/>
          <w:color w:val="auto"/>
        </w:rPr>
        <w:t>We will issue the debt securities in one or more series under an indenture between us and a trustee to be selected by us. The following description of provisions of the indenture does not purport to be complete and is subject to, and qualified in its entirety by reference to, the indenture, which has been filed with the SEC as an exhibit to the registration statement of which this prospectus forms a part. A form of each debt security,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 purposes of this section of this prospectus, references to “we,” “us” and “our” are to Aeva Technologies, Inc. and not to any of its subsidiaries.</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40" w:right="419"/>
        <w:spacing w:after="0" w:line="259" w:lineRule="auto"/>
        <w:rPr>
          <w:sz w:val="20"/>
          <w:szCs w:val="20"/>
          <w:color w:val="auto"/>
        </w:rPr>
      </w:pPr>
      <w:r>
        <w:rPr>
          <w:rFonts w:ascii="Times New Roman" w:cs="Times New Roman" w:eastAsia="Times New Roman" w:hAnsi="Times New Roman"/>
          <w:sz w:val="14"/>
          <w:szCs w:val="14"/>
          <w:color w:val="auto"/>
        </w:rPr>
        <w:t>We may issue, from time to time, debt securities, in one or more series, that will consist of either senior debt (“Senior Debt Securities”), senior subordinated debt (“Senior Subordinated Debt Securities”), subordinated debt (“Subordinated Debt Securities”) or junior subordinated debt (“Junior Subordinated Debt Securities” and, together with the Senior Subordinated Debt Securities and the Subordinated Debt Securities, the “Subordinated Securities”). Debt securities, whether senior, senior subordinated, subordinated or junior subordinated, may be issued as convertible debt securities or exchangeable debt securities.</w:t>
      </w:r>
    </w:p>
    <w:p>
      <w:pPr>
        <w:spacing w:after="0" w:line="143" w:lineRule="exact"/>
        <w:rPr>
          <w:sz w:val="20"/>
          <w:szCs w:val="20"/>
          <w:color w:val="auto"/>
        </w:rPr>
      </w:pPr>
    </w:p>
    <w:p>
      <w:pPr>
        <w:ind w:left="1340" w:right="259"/>
        <w:spacing w:after="0" w:line="258"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We may, without the consent of the holders of the debt securities of any series, issue additional debt securities ranking equally with, and otherwise similar in all respects to, the debt securities of the series (except for any differences in the issue price and, if applicable, the initial interest accrual date and interest payment date) so that those additional debt securities will be consolidated and form a single series with the debt securities of the series previously offered and sold; provided that if the additional debt securities are not fungible with the debt securities of the series previously offered or sold for U.S. federal income tax purposes, the additional debt securities will have a separate CUSIP or other identifying number.</w:t>
      </w:r>
    </w:p>
    <w:p>
      <w:pPr>
        <w:spacing w:after="0" w:line="142" w:lineRule="exact"/>
        <w:rPr>
          <w:sz w:val="20"/>
          <w:szCs w:val="20"/>
          <w:color w:val="auto"/>
        </w:rPr>
      </w:pPr>
    </w:p>
    <w:p>
      <w:pPr>
        <w:ind w:left="1340" w:right="219"/>
        <w:spacing w:after="0" w:line="262" w:lineRule="auto"/>
        <w:rPr>
          <w:sz w:val="20"/>
          <w:szCs w:val="20"/>
          <w:color w:val="auto"/>
        </w:rPr>
      </w:pPr>
      <w:r>
        <w:rPr>
          <w:rFonts w:ascii="Times New Roman" w:cs="Times New Roman" w:eastAsia="Times New Roman" w:hAnsi="Times New Roman"/>
          <w:sz w:val="14"/>
          <w:szCs w:val="14"/>
          <w:color w:val="auto"/>
        </w:rPr>
        <w:t>The indenture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40" w:lineRule="exact"/>
        <w:rPr>
          <w:sz w:val="20"/>
          <w:szCs w:val="20"/>
          <w:color w:val="auto"/>
        </w:rPr>
      </w:pPr>
    </w:p>
    <w:p>
      <w:pPr>
        <w:ind w:left="1340" w:right="279"/>
        <w:spacing w:after="0" w:line="262"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Provisions of the Indenture</w:t>
      </w:r>
    </w:p>
    <w:p>
      <w:pPr>
        <w:spacing w:after="0" w:line="94" w:lineRule="exact"/>
        <w:rPr>
          <w:sz w:val="20"/>
          <w:szCs w:val="20"/>
          <w:color w:val="auto"/>
        </w:rPr>
      </w:pPr>
    </w:p>
    <w:p>
      <w:pPr>
        <w:ind w:left="1340" w:right="379"/>
        <w:spacing w:after="0" w:line="284" w:lineRule="auto"/>
        <w:rPr>
          <w:sz w:val="20"/>
          <w:szCs w:val="20"/>
          <w:color w:val="auto"/>
        </w:rPr>
      </w:pPr>
      <w:r>
        <w:rPr>
          <w:rFonts w:ascii="Times New Roman" w:cs="Times New Roman" w:eastAsia="Times New Roman" w:hAnsi="Times New Roman"/>
          <w:sz w:val="14"/>
          <w:szCs w:val="14"/>
          <w:color w:val="auto"/>
        </w:rPr>
        <w:t>The applicable prospectus supplement for a series of debt securities that we issue will describe, among other things, the following terms of the offered debt securities:</w:t>
      </w:r>
    </w:p>
    <w:p>
      <w:pPr>
        <w:spacing w:after="0" w:line="51" w:lineRule="exact"/>
        <w:rPr>
          <w:sz w:val="20"/>
          <w:szCs w:val="20"/>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debt securities will be issued;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debt securities of such series;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of payment of principal or interest;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is payable;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and the date or dates from which interest, if any, will accrue, and the date or dates when interest is payable;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the extensions;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or record dates for determining to whom interest is payable;</w:t>
      </w:r>
    </w:p>
    <w:p>
      <w:pPr>
        <w:spacing w:after="0" w:line="102" w:lineRule="exact"/>
        <w:rPr>
          <w:rFonts w:ascii="Times New Roman" w:cs="Times New Roman" w:eastAsia="Times New Roman" w:hAnsi="Times New Roman"/>
          <w:sz w:val="14"/>
          <w:szCs w:val="14"/>
          <w:color w:val="auto"/>
        </w:rPr>
      </w:pPr>
    </w:p>
    <w:p>
      <w:pPr>
        <w:ind w:left="2100" w:right="439" w:hanging="335"/>
        <w:spacing w:after="0" w:line="284"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and the manner in which principal, premium or interest will be payable and the place or places where the debt securities may be presented for transfer and, if applicable, conversion or exchange;</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rights or obligations to redeem or purchase the debt securities, including sinking fund or partial redemption payments;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pursuant to which any debt securities will be subordinate to any of our other debt;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102" w:lineRule="exact"/>
        <w:rPr>
          <w:rFonts w:ascii="Times New Roman" w:cs="Times New Roman" w:eastAsia="Times New Roman" w:hAnsi="Times New Roman"/>
          <w:sz w:val="14"/>
          <w:szCs w:val="14"/>
          <w:color w:val="auto"/>
        </w:rPr>
      </w:pPr>
    </w:p>
    <w:p>
      <w:pPr>
        <w:ind w:left="2100" w:right="359" w:hanging="335"/>
        <w:spacing w:after="0" w:line="284"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entire principal amount of the debt securities when issued, the portion of the principal amount payable upon acceleration of maturity as a result of an Event of Default (as defined herein);</w:t>
      </w:r>
    </w:p>
    <w:p>
      <w:pPr>
        <w:spacing w:after="0" w:line="51" w:lineRule="exact"/>
        <w:rPr>
          <w:rFonts w:ascii="Times New Roman" w:cs="Times New Roman" w:eastAsia="Times New Roman" w:hAnsi="Times New Roman"/>
          <w:sz w:val="14"/>
          <w:szCs w:val="14"/>
          <w:color w:val="auto"/>
        </w:rPr>
      </w:pPr>
    </w:p>
    <w:p>
      <w:pPr>
        <w:ind w:left="2100" w:right="299" w:hanging="335"/>
        <w:spacing w:after="0" w:line="268"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6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applicable to any debt securities issued at a discount from their stated principal amount;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remarketing of the debt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Events of Default applicable to any debt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covenants affording holders of debt protection with respect to our operations, financial condition or transactions involving us;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provisions, if any, including conversion or exchange prices or rates and adjustments thereto;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any debt securities.</w:t>
      </w:r>
    </w:p>
    <w:p>
      <w:pPr>
        <w:spacing w:after="0" w:line="176" w:lineRule="exact"/>
        <w:rPr>
          <w:sz w:val="20"/>
          <w:szCs w:val="20"/>
          <w:color w:val="auto"/>
        </w:rPr>
      </w:pPr>
    </w:p>
    <w:p>
      <w:pPr>
        <w:ind w:left="1340" w:right="399"/>
        <w:spacing w:after="0" w:line="284" w:lineRule="auto"/>
        <w:rPr>
          <w:sz w:val="20"/>
          <w:szCs w:val="20"/>
          <w:color w:val="auto"/>
        </w:rPr>
      </w:pPr>
      <w:r>
        <w:rPr>
          <w:rFonts w:ascii="Times New Roman" w:cs="Times New Roman" w:eastAsia="Times New Roman" w:hAnsi="Times New Roman"/>
          <w:sz w:val="14"/>
          <w:szCs w:val="14"/>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25" w:lineRule="exact"/>
        <w:rPr>
          <w:sz w:val="20"/>
          <w:szCs w:val="20"/>
          <w:color w:val="auto"/>
        </w:rPr>
      </w:pPr>
    </w:p>
    <w:p>
      <w:pPr>
        <w:ind w:left="1340" w:right="419"/>
        <w:spacing w:after="0" w:line="284" w:lineRule="auto"/>
        <w:rPr>
          <w:sz w:val="20"/>
          <w:szCs w:val="20"/>
          <w:color w:val="auto"/>
        </w:rPr>
      </w:pPr>
      <w:r>
        <w:rPr>
          <w:rFonts w:ascii="Times New Roman" w:cs="Times New Roman" w:eastAsia="Times New Roman" w:hAnsi="Times New Roman"/>
          <w:sz w:val="14"/>
          <w:szCs w:val="14"/>
          <w:color w:val="auto"/>
        </w:rPr>
        <w:t>Debt securities issued by us will be structurally subordinated to all indebtedness and other liabilities of our subsidiaries, except to the extent any such subsidiary guarantees or is otherwise obligated to make payment on such debt securities.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Senior Debt Securities</w:t>
      </w:r>
    </w:p>
    <w:p>
      <w:pPr>
        <w:spacing w:after="0" w:line="94" w:lineRule="exact"/>
        <w:rPr>
          <w:sz w:val="20"/>
          <w:szCs w:val="20"/>
          <w:color w:val="auto"/>
        </w:rPr>
      </w:pPr>
    </w:p>
    <w:p>
      <w:pPr>
        <w:ind w:left="1340" w:right="679"/>
        <w:spacing w:after="0" w:line="284"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Senior Debt Securities will rank on a parity with all of our other unsecured and unsubordinated debt.</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Senior Subordinated Debt Securities</w:t>
      </w:r>
    </w:p>
    <w:p>
      <w:pPr>
        <w:spacing w:after="0" w:line="94" w:lineRule="exact"/>
        <w:rPr>
          <w:sz w:val="20"/>
          <w:szCs w:val="20"/>
          <w:color w:val="auto"/>
        </w:rPr>
      </w:pPr>
    </w:p>
    <w:p>
      <w:pPr>
        <w:ind w:left="1340" w:right="279"/>
        <w:spacing w:after="0" w:line="259"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applicable prospectus supplement limitations, if any, on issuance of additional debt ranking senior to the Senior Subordinated Debt Securities.</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Subordinated Debt Securities</w:t>
      </w:r>
    </w:p>
    <w:p>
      <w:pPr>
        <w:spacing w:after="0" w:line="94" w:lineRule="exact"/>
        <w:rPr>
          <w:sz w:val="20"/>
          <w:szCs w:val="20"/>
          <w:color w:val="auto"/>
        </w:rPr>
      </w:pPr>
    </w:p>
    <w:p>
      <w:pPr>
        <w:ind w:left="1340" w:right="279"/>
        <w:spacing w:after="0" w:line="259"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Subordinated Debt Securities will be subordinated and junior in right of payment to the prior payment in full of all of our unsubordinated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debt ranking senior to the Subordinated Debt Securities.</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Junior Subordinated Debt Securities</w:t>
      </w:r>
    </w:p>
    <w:p>
      <w:pPr>
        <w:spacing w:after="0" w:line="94" w:lineRule="exact"/>
        <w:rPr>
          <w:sz w:val="20"/>
          <w:szCs w:val="20"/>
          <w:color w:val="auto"/>
        </w:rPr>
      </w:pPr>
    </w:p>
    <w:p>
      <w:pPr>
        <w:ind w:left="1340" w:right="259"/>
        <w:spacing w:after="0" w:line="259"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Junior Subordinated Debt Securities will be subordinated and junior in right of payment to the prior payment in full of all of our unsubordinated,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ranking senior to the Junior Subordinated Debt Securities.</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4" w:lineRule="exact"/>
        <w:rPr>
          <w:sz w:val="20"/>
          <w:szCs w:val="20"/>
          <w:color w:val="auto"/>
        </w:rPr>
      </w:pPr>
    </w:p>
    <w:p>
      <w:pPr>
        <w:ind w:left="1340" w:right="319"/>
        <w:spacing w:after="0" w:line="284" w:lineRule="auto"/>
        <w:rPr>
          <w:sz w:val="20"/>
          <w:szCs w:val="20"/>
          <w:color w:val="auto"/>
        </w:rPr>
      </w:pPr>
      <w:r>
        <w:rPr>
          <w:rFonts w:ascii="Times New Roman" w:cs="Times New Roman" w:eastAsia="Times New Roman" w:hAnsi="Times New Roman"/>
          <w:sz w:val="14"/>
          <w:szCs w:val="14"/>
          <w:color w:val="auto"/>
        </w:rPr>
        <w:t>Debt securities may be convertible into or exchangeable for other securities or property of us. The terms and conditions of conversion or exchange will be set forth in the applicable prospectus supplement. The terms will include, among others, the following:</w:t>
      </w:r>
    </w:p>
    <w:p>
      <w:pPr>
        <w:spacing w:after="0" w:line="51" w:lineRule="exact"/>
        <w:rPr>
          <w:sz w:val="20"/>
          <w:szCs w:val="20"/>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price;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period;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regarding the ability of us or the holder to convert or exchange the debt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requiring adjustment to the conversion or exchange price;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affecting conversion or exchange in the event of our redemption of the debt securities.</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4" w:lineRule="exact"/>
        <w:rPr>
          <w:sz w:val="20"/>
          <w:szCs w:val="20"/>
          <w:color w:val="auto"/>
        </w:rPr>
      </w:pPr>
    </w:p>
    <w:p>
      <w:pPr>
        <w:ind w:left="1340" w:right="439"/>
        <w:spacing w:after="0" w:line="284" w:lineRule="auto"/>
        <w:rPr>
          <w:sz w:val="20"/>
          <w:szCs w:val="20"/>
          <w:color w:val="auto"/>
        </w:rPr>
      </w:pPr>
      <w:r>
        <w:rPr>
          <w:rFonts w:ascii="Times New Roman" w:cs="Times New Roman" w:eastAsia="Times New Roman" w:hAnsi="Times New Roman"/>
          <w:sz w:val="14"/>
          <w:szCs w:val="14"/>
          <w:color w:val="auto"/>
        </w:rPr>
        <w:t>We cannot consolidate or merge with or into, or transfer or lease our properties and assets substantially as an entirety to, any person, and we shall not permit any other person to consolidate with or merge into us, unless:</w:t>
      </w:r>
    </w:p>
    <w:p>
      <w:pPr>
        <w:spacing w:after="0" w:line="51" w:lineRule="exact"/>
        <w:rPr>
          <w:sz w:val="20"/>
          <w:szCs w:val="20"/>
          <w:color w:val="auto"/>
        </w:rPr>
      </w:pPr>
    </w:p>
    <w:p>
      <w:pPr>
        <w:ind w:left="2100" w:right="479" w:hanging="335"/>
        <w:spacing w:after="0" w:line="284"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we will be the continuing corporation or (b) the successor corporation or person formed by such consolidation or into which we are merged or to which our properties and assets substantially as an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20" w:right="279"/>
        <w:spacing w:after="0" w:line="262" w:lineRule="auto"/>
        <w:rPr>
          <w:sz w:val="20"/>
          <w:szCs w:val="20"/>
          <w:color w:val="auto"/>
        </w:rPr>
      </w:pPr>
      <w:r>
        <w:rPr>
          <w:rFonts w:ascii="Times New Roman" w:cs="Times New Roman" w:eastAsia="Times New Roman" w:hAnsi="Times New Roman"/>
          <w:sz w:val="14"/>
          <w:szCs w:val="14"/>
          <w:color w:val="auto"/>
        </w:rPr>
        <w:t>entirety are transferred or leased is a person organized or formed under the laws of the United States, any state of the United States or the District of Columbia and, if such entity is not a corporation, a co-obligor of the debt securities is a corporation organized or existing under any such laws, and such successor corporation or person, including such co-obligor, if any, expressly assumes our obligations under the debt securities and the indenture; and</w:t>
      </w:r>
    </w:p>
    <w:p>
      <w:pPr>
        <w:spacing w:after="0" w:line="67" w:lineRule="exact"/>
        <w:rPr>
          <w:sz w:val="20"/>
          <w:szCs w:val="20"/>
          <w:color w:val="auto"/>
        </w:rPr>
      </w:pPr>
    </w:p>
    <w:p>
      <w:pPr>
        <w:ind w:left="2100" w:right="259" w:hanging="335"/>
        <w:spacing w:after="0" w:line="284"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or event, which after notice or lapse of time or both would become an Event of Default, shall have occurred and be continuing.</w:t>
      </w:r>
    </w:p>
    <w:p>
      <w:pPr>
        <w:spacing w:after="0" w:line="125" w:lineRule="exact"/>
        <w:rPr>
          <w:sz w:val="20"/>
          <w:szCs w:val="20"/>
          <w:color w:val="auto"/>
        </w:rPr>
      </w:pPr>
    </w:p>
    <w:p>
      <w:pPr>
        <w:ind w:left="1340" w:right="219"/>
        <w:spacing w:after="0" w:line="284" w:lineRule="auto"/>
        <w:rPr>
          <w:sz w:val="20"/>
          <w:szCs w:val="20"/>
          <w:color w:val="auto"/>
        </w:rPr>
      </w:pPr>
      <w:r>
        <w:rPr>
          <w:rFonts w:ascii="Times New Roman" w:cs="Times New Roman" w:eastAsia="Times New Roman" w:hAnsi="Times New Roman"/>
          <w:sz w:val="14"/>
          <w:szCs w:val="14"/>
          <w:color w:val="auto"/>
        </w:rPr>
        <w:t>Subject to certain exceptions, when the person to whom our assets are transferred or leased has assumed our obligations under the debt securities and the indenture, we shall be discharged from all our obligations under the debt securities and the indenture.</w:t>
      </w:r>
    </w:p>
    <w:p>
      <w:pPr>
        <w:spacing w:after="0" w:line="125" w:lineRule="exact"/>
        <w:rPr>
          <w:sz w:val="20"/>
          <w:szCs w:val="20"/>
          <w:color w:val="auto"/>
        </w:rPr>
      </w:pPr>
    </w:p>
    <w:p>
      <w:pPr>
        <w:ind w:left="1340" w:right="379"/>
        <w:spacing w:after="0" w:line="284" w:lineRule="auto"/>
        <w:rPr>
          <w:sz w:val="20"/>
          <w:szCs w:val="20"/>
          <w:color w:val="auto"/>
        </w:rPr>
      </w:pPr>
      <w:r>
        <w:rPr>
          <w:rFonts w:ascii="Times New Roman" w:cs="Times New Roman" w:eastAsia="Times New Roman" w:hAnsi="Times New Roman"/>
          <w:sz w:val="14"/>
          <w:szCs w:val="14"/>
          <w:color w:val="auto"/>
        </w:rPr>
        <w:t>This covenant would not apply to any recapitalization transaction, a change of control of us or a highly leveraged transaction, unless the transaction or change of control were structured to include a merger or consolidation or transfer or lease of our properties and assets substantially as an entirety.</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4" w:lineRule="exact"/>
        <w:rPr>
          <w:sz w:val="20"/>
          <w:szCs w:val="20"/>
          <w:color w:val="auto"/>
        </w:rPr>
      </w:pPr>
    </w:p>
    <w:p>
      <w:pPr>
        <w:ind w:left="1340" w:right="399"/>
        <w:spacing w:after="0" w:line="284" w:lineRule="auto"/>
        <w:rPr>
          <w:sz w:val="20"/>
          <w:szCs w:val="20"/>
          <w:color w:val="auto"/>
        </w:rPr>
      </w:pPr>
      <w:r>
        <w:rPr>
          <w:rFonts w:ascii="Times New Roman" w:cs="Times New Roman" w:eastAsia="Times New Roman" w:hAnsi="Times New Roman"/>
          <w:sz w:val="14"/>
          <w:szCs w:val="14"/>
          <w:color w:val="auto"/>
        </w:rPr>
        <w:t>Unless otherwise indicated, the term “Event of Default,” when used in the indenture with respect to the debt securities of any series, means any of the following:</w:t>
      </w:r>
    </w:p>
    <w:p>
      <w:pPr>
        <w:spacing w:after="0" w:line="51" w:lineRule="exact"/>
        <w:rPr>
          <w:sz w:val="20"/>
          <w:szCs w:val="20"/>
          <w:color w:val="auto"/>
        </w:rPr>
      </w:pPr>
    </w:p>
    <w:p>
      <w:pPr>
        <w:ind w:left="2100" w:right="299" w:hanging="335"/>
        <w:spacing w:after="0" w:line="284"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for 30 days after the date payment on any debt security of such series is due and payable; provided that an extension of an interest payment period by us in accordance with the terms of the debt securities shall not constitute a failure to pay interest;</w:t>
      </w:r>
    </w:p>
    <w:p>
      <w:pPr>
        <w:spacing w:after="0" w:line="51" w:lineRule="exact"/>
        <w:rPr>
          <w:rFonts w:ascii="Times New Roman" w:cs="Times New Roman" w:eastAsia="Times New Roman" w:hAnsi="Times New Roman"/>
          <w:sz w:val="14"/>
          <w:szCs w:val="14"/>
          <w:color w:val="auto"/>
        </w:rPr>
      </w:pPr>
    </w:p>
    <w:p>
      <w:pPr>
        <w:ind w:left="2100" w:right="599" w:hanging="335"/>
        <w:spacing w:after="0" w:line="284"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or premium, if any, on any debt security of such series when due, either at maturity, upon any redemption, by declaration or otherwise;</w:t>
      </w:r>
    </w:p>
    <w:p>
      <w:pPr>
        <w:spacing w:after="0" w:line="51" w:lineRule="exact"/>
        <w:rPr>
          <w:rFonts w:ascii="Times New Roman" w:cs="Times New Roman" w:eastAsia="Times New Roman" w:hAnsi="Times New Roman"/>
          <w:sz w:val="14"/>
          <w:szCs w:val="14"/>
          <w:color w:val="auto"/>
        </w:rPr>
      </w:pPr>
    </w:p>
    <w:p>
      <w:pPr>
        <w:ind w:left="2100" w:right="259" w:hanging="335"/>
        <w:spacing w:after="0" w:line="268"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covenant in the indenture or the debt securities of such series for a specified period of time after written notice that performance was required, which notice must be sent by either the trustee or holders of not less than a specified percentage of the principal amount of the outstanding debt securities of such series;</w:t>
      </w:r>
    </w:p>
    <w:p>
      <w:pPr>
        <w:spacing w:after="0" w:line="6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us; or</w:t>
      </w:r>
    </w:p>
    <w:p>
      <w:pPr>
        <w:spacing w:after="0" w:line="102" w:lineRule="exact"/>
        <w:rPr>
          <w:rFonts w:ascii="Times New Roman" w:cs="Times New Roman" w:eastAsia="Times New Roman" w:hAnsi="Times New Roman"/>
          <w:sz w:val="14"/>
          <w:szCs w:val="14"/>
          <w:color w:val="auto"/>
        </w:rPr>
      </w:pPr>
    </w:p>
    <w:p>
      <w:pPr>
        <w:ind w:left="2100" w:right="399" w:hanging="335"/>
        <w:spacing w:after="0" w:line="284"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the applicable resolution of the Board or the officers’ certificate or supplemental indenture under which we issue such series of debt securities.</w:t>
      </w:r>
    </w:p>
    <w:p>
      <w:pPr>
        <w:spacing w:after="0" w:line="125" w:lineRule="exact"/>
        <w:rPr>
          <w:sz w:val="20"/>
          <w:szCs w:val="20"/>
          <w:color w:val="auto"/>
        </w:rPr>
      </w:pPr>
    </w:p>
    <w:p>
      <w:pPr>
        <w:ind w:left="1340" w:right="459"/>
        <w:spacing w:after="0" w:line="284"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indenture.</w:t>
      </w:r>
    </w:p>
    <w:p>
      <w:pPr>
        <w:spacing w:after="0" w:line="125" w:lineRule="exact"/>
        <w:rPr>
          <w:sz w:val="20"/>
          <w:szCs w:val="20"/>
          <w:color w:val="auto"/>
        </w:rPr>
      </w:pPr>
    </w:p>
    <w:p>
      <w:pPr>
        <w:ind w:left="1340" w:right="219"/>
        <w:spacing w:after="0" w:line="259" w:lineRule="auto"/>
        <w:rPr>
          <w:sz w:val="20"/>
          <w:szCs w:val="20"/>
          <w:color w:val="auto"/>
        </w:rPr>
      </w:pPr>
      <w:r>
        <w:rPr>
          <w:rFonts w:ascii="Times New Roman" w:cs="Times New Roman" w:eastAsia="Times New Roman" w:hAnsi="Times New Roman"/>
          <w:sz w:val="14"/>
          <w:szCs w:val="14"/>
          <w:color w:val="auto"/>
        </w:rPr>
        <w:t>If an Event of Default (other than an Event of Default relating to events of bankruptcy, insolvency or reorganization of us) involving any series of debt securities has occurred and is continuing, the trustee or the holders of a specified aggregate principal amount of the debt securities of each affected series may declare the entire principal amount of all the debt securities of such affected series, and the interest accrued thereon, if any, to be due and payable immediately. The holders of not less than a majority in aggregate principal amount of the debt securities of an affected series may, after satisfying conditions, rescind and annul any of the above-described declarations and consequences involving such series.</w:t>
      </w:r>
    </w:p>
    <w:p>
      <w:pPr>
        <w:spacing w:after="0" w:line="143" w:lineRule="exact"/>
        <w:rPr>
          <w:sz w:val="20"/>
          <w:szCs w:val="20"/>
          <w:color w:val="auto"/>
        </w:rPr>
      </w:pPr>
    </w:p>
    <w:p>
      <w:pPr>
        <w:ind w:left="1340" w:right="359"/>
        <w:spacing w:after="0" w:line="268" w:lineRule="auto"/>
        <w:rPr>
          <w:sz w:val="20"/>
          <w:szCs w:val="20"/>
          <w:color w:val="auto"/>
        </w:rPr>
      </w:pPr>
      <w:r>
        <w:rPr>
          <w:rFonts w:ascii="Times New Roman" w:cs="Times New Roman" w:eastAsia="Times New Roman" w:hAnsi="Times New Roman"/>
          <w:sz w:val="14"/>
          <w:szCs w:val="14"/>
          <w:color w:val="auto"/>
        </w:rPr>
        <w:t>If an Event of Default relating to events of bankruptcy, insolvency or reorganization of us occurs and is continuing, then the entire principal amount of all of the debt securities outstanding, and the interest accrued thereon, if any, will automatically become due and payable immediately, without any declaration or other act by the trustee or any holder.</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599"/>
        <w:spacing w:after="0" w:line="284" w:lineRule="auto"/>
        <w:rPr>
          <w:sz w:val="20"/>
          <w:szCs w:val="20"/>
          <w:color w:val="auto"/>
        </w:rPr>
      </w:pPr>
      <w:r>
        <w:rPr>
          <w:rFonts w:ascii="Times New Roman" w:cs="Times New Roman" w:eastAsia="Times New Roman" w:hAnsi="Times New Roman"/>
          <w:sz w:val="14"/>
          <w:szCs w:val="14"/>
          <w:color w:val="auto"/>
        </w:rPr>
        <w:t>The indenture imposes limitations on suits brought by holders of debt securities against us with respect to an Event of Default. Except as provided below, no holder of debt securities of any series may institute any action against us under the indenture unless:</w:t>
      </w:r>
    </w:p>
    <w:p>
      <w:pPr>
        <w:spacing w:after="0" w:line="51" w:lineRule="exact"/>
        <w:rPr>
          <w:sz w:val="20"/>
          <w:szCs w:val="20"/>
          <w:color w:val="auto"/>
        </w:rPr>
      </w:pPr>
    </w:p>
    <w:p>
      <w:pPr>
        <w:ind w:left="2100" w:right="419" w:hanging="335"/>
        <w:spacing w:after="0" w:line="284"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and such holder has previously given to the trustee written notice of such continuing Event of Default;</w:t>
      </w:r>
    </w:p>
    <w:p>
      <w:pPr>
        <w:spacing w:after="0" w:line="51" w:lineRule="exact"/>
        <w:rPr>
          <w:rFonts w:ascii="Times New Roman" w:cs="Times New Roman" w:eastAsia="Times New Roman" w:hAnsi="Times New Roman"/>
          <w:sz w:val="14"/>
          <w:szCs w:val="14"/>
          <w:color w:val="auto"/>
        </w:rPr>
      </w:pPr>
    </w:p>
    <w:p>
      <w:pPr>
        <w:ind w:left="2100" w:right="439" w:hanging="335"/>
        <w:spacing w:after="0" w:line="284"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specified percentage in principal amount of the outstanding debt securities of the affected series have requested that the trustee institute the action in respect of such Event of Default;</w:t>
      </w:r>
    </w:p>
    <w:p>
      <w:pPr>
        <w:spacing w:after="0" w:line="51" w:lineRule="exact"/>
        <w:rPr>
          <w:rFonts w:ascii="Times New Roman" w:cs="Times New Roman" w:eastAsia="Times New Roman" w:hAnsi="Times New Roman"/>
          <w:sz w:val="14"/>
          <w:szCs w:val="14"/>
          <w:color w:val="auto"/>
        </w:rPr>
      </w:pPr>
    </w:p>
    <w:p>
      <w:pPr>
        <w:ind w:left="2100" w:right="419" w:hanging="335"/>
        <w:spacing w:after="0" w:line="284"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requesting holders have offered the trustee security or indemnity reasonably satisfactory to it for expenses and liabilities that may be incurred by bringing the action;</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instituted the action within a specified number of days of the request; and</w:t>
      </w:r>
    </w:p>
    <w:p>
      <w:pPr>
        <w:spacing w:after="0" w:line="102" w:lineRule="exact"/>
        <w:rPr>
          <w:rFonts w:ascii="Times New Roman" w:cs="Times New Roman" w:eastAsia="Times New Roman" w:hAnsi="Times New Roman"/>
          <w:sz w:val="14"/>
          <w:szCs w:val="14"/>
          <w:color w:val="auto"/>
        </w:rPr>
      </w:pPr>
    </w:p>
    <w:p>
      <w:pPr>
        <w:ind w:left="2100" w:right="299" w:hanging="335"/>
        <w:spacing w:after="0" w:line="284"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received inconsistent direction by the holders of a majority in principal amount of the outstanding debt securities of the affected series.</w:t>
      </w:r>
    </w:p>
    <w:p>
      <w:pPr>
        <w:spacing w:after="0" w:line="125" w:lineRule="exact"/>
        <w:rPr>
          <w:sz w:val="20"/>
          <w:szCs w:val="20"/>
          <w:color w:val="auto"/>
        </w:rPr>
      </w:pPr>
    </w:p>
    <w:p>
      <w:pPr>
        <w:jc w:val="both"/>
        <w:ind w:left="1340" w:right="299"/>
        <w:spacing w:after="0" w:line="268" w:lineRule="auto"/>
        <w:rPr>
          <w:sz w:val="20"/>
          <w:szCs w:val="20"/>
          <w:color w:val="auto"/>
        </w:rPr>
      </w:pPr>
      <w:r>
        <w:rPr>
          <w:rFonts w:ascii="Times New Roman" w:cs="Times New Roman" w:eastAsia="Times New Roman" w:hAnsi="Times New Roman"/>
          <w:sz w:val="14"/>
          <w:szCs w:val="14"/>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35" w:lineRule="exact"/>
        <w:rPr>
          <w:sz w:val="20"/>
          <w:szCs w:val="20"/>
          <w:color w:val="auto"/>
        </w:rPr>
      </w:pPr>
    </w:p>
    <w:p>
      <w:pPr>
        <w:ind w:left="1340" w:right="239"/>
        <w:spacing w:after="0" w:line="284" w:lineRule="auto"/>
        <w:rPr>
          <w:sz w:val="20"/>
          <w:szCs w:val="20"/>
          <w:color w:val="auto"/>
        </w:rPr>
      </w:pPr>
      <w:r>
        <w:rPr>
          <w:rFonts w:ascii="Times New Roman" w:cs="Times New Roman" w:eastAsia="Times New Roman" w:hAnsi="Times New Roman"/>
          <w:sz w:val="14"/>
          <w:szCs w:val="14"/>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Registered Global Securities</w:t>
      </w:r>
    </w:p>
    <w:p>
      <w:pPr>
        <w:spacing w:after="0" w:line="94" w:lineRule="exact"/>
        <w:rPr>
          <w:sz w:val="20"/>
          <w:szCs w:val="20"/>
          <w:color w:val="auto"/>
        </w:rPr>
      </w:pPr>
    </w:p>
    <w:p>
      <w:pPr>
        <w:ind w:left="1340" w:right="239"/>
        <w:spacing w:after="0" w:line="262" w:lineRule="auto"/>
        <w:rPr>
          <w:sz w:val="20"/>
          <w:szCs w:val="20"/>
          <w:color w:val="auto"/>
        </w:rPr>
      </w:pPr>
      <w:r>
        <w:rPr>
          <w:rFonts w:ascii="Times New Roman" w:cs="Times New Roman" w:eastAsia="Times New Roman" w:hAnsi="Times New Roman"/>
          <w:sz w:val="14"/>
          <w:szCs w:val="14"/>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40" w:lineRule="exact"/>
        <w:rPr>
          <w:sz w:val="20"/>
          <w:szCs w:val="20"/>
          <w:color w:val="auto"/>
        </w:rPr>
      </w:pPr>
    </w:p>
    <w:p>
      <w:pPr>
        <w:ind w:left="1340" w:right="399"/>
        <w:spacing w:after="0" w:line="284" w:lineRule="auto"/>
        <w:rPr>
          <w:sz w:val="20"/>
          <w:szCs w:val="20"/>
          <w:color w:val="auto"/>
        </w:rPr>
      </w:pPr>
      <w:r>
        <w:rPr>
          <w:rFonts w:ascii="Times New Roman" w:cs="Times New Roman" w:eastAsia="Times New Roman" w:hAnsi="Times New Roman"/>
          <w:sz w:val="14"/>
          <w:szCs w:val="14"/>
          <w:color w:val="auto"/>
        </w:rPr>
        <w:t>Unless and until it is exchanged in whole or in part for debt securities in definitive registered form, a registered global security may not be transferred except as a whole:</w:t>
      </w:r>
    </w:p>
    <w:p>
      <w:pPr>
        <w:spacing w:after="0" w:line="51" w:lineRule="exact"/>
        <w:rPr>
          <w:sz w:val="20"/>
          <w:szCs w:val="20"/>
          <w:color w:val="auto"/>
        </w:rPr>
      </w:pPr>
    </w:p>
    <w:p>
      <w:pPr>
        <w:ind w:left="2100" w:hanging="335"/>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for such registered global security to its nominee;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nominee of the depositary to the depositary or another nominee of the depositary; or</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or its nominee to a successor of the depositary or a nominee of the successor.</w:t>
      </w:r>
    </w:p>
    <w:p>
      <w:pPr>
        <w:spacing w:after="0" w:line="176" w:lineRule="exact"/>
        <w:rPr>
          <w:sz w:val="20"/>
          <w:szCs w:val="20"/>
          <w:color w:val="auto"/>
        </w:rPr>
      </w:pPr>
    </w:p>
    <w:p>
      <w:pPr>
        <w:ind w:left="1340" w:right="239"/>
        <w:spacing w:after="0" w:line="268" w:lineRule="auto"/>
        <w:rPr>
          <w:sz w:val="20"/>
          <w:szCs w:val="20"/>
          <w:color w:val="auto"/>
        </w:rPr>
      </w:pPr>
      <w:r>
        <w:rPr>
          <w:rFonts w:ascii="Times New Roman" w:cs="Times New Roman" w:eastAsia="Times New Roman" w:hAnsi="Times New Roman"/>
          <w:sz w:val="14"/>
          <w:szCs w:val="14"/>
          <w:color w:val="auto"/>
        </w:rPr>
        <w:t>The applicable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62" w:lineRule="exact"/>
        <w:rPr>
          <w:sz w:val="20"/>
          <w:szCs w:val="20"/>
          <w:color w:val="auto"/>
        </w:rPr>
      </w:pPr>
    </w:p>
    <w:p>
      <w:pPr>
        <w:ind w:left="2100" w:right="479" w:hanging="335"/>
        <w:spacing w:after="0" w:line="284"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51" w:lineRule="exact"/>
        <w:rPr>
          <w:rFonts w:ascii="Times New Roman" w:cs="Times New Roman" w:eastAsia="Times New Roman" w:hAnsi="Times New Roman"/>
          <w:sz w:val="14"/>
          <w:szCs w:val="14"/>
          <w:color w:val="auto"/>
        </w:rPr>
      </w:pPr>
    </w:p>
    <w:p>
      <w:pPr>
        <w:ind w:left="2100" w:right="319" w:hanging="335"/>
        <w:spacing w:after="0" w:line="268"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dealers, underwriters, or agents participating in the distribution of the debt securities will designate the accounts to be credited; and</w:t>
      </w:r>
    </w:p>
    <w:p>
      <w:pPr>
        <w:spacing w:after="0" w:line="102" w:lineRule="exact"/>
        <w:rPr>
          <w:rFonts w:ascii="Times New Roman" w:cs="Times New Roman" w:eastAsia="Times New Roman" w:hAnsi="Times New Roman"/>
          <w:sz w:val="14"/>
          <w:szCs w:val="14"/>
          <w:color w:val="auto"/>
        </w:rPr>
      </w:pPr>
    </w:p>
    <w:p>
      <w:pPr>
        <w:ind w:left="2100" w:right="299" w:hanging="335"/>
        <w:spacing w:after="0" w:line="268"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35" w:lineRule="exact"/>
        <w:rPr>
          <w:sz w:val="20"/>
          <w:szCs w:val="20"/>
          <w:color w:val="auto"/>
        </w:rPr>
      </w:pPr>
    </w:p>
    <w:p>
      <w:pPr>
        <w:ind w:left="1340" w:right="259"/>
        <w:spacing w:after="0" w:line="284" w:lineRule="auto"/>
        <w:rPr>
          <w:sz w:val="20"/>
          <w:szCs w:val="20"/>
          <w:color w:val="auto"/>
        </w:rPr>
      </w:pPr>
      <w:r>
        <w:rPr>
          <w:rFonts w:ascii="Times New Roman" w:cs="Times New Roman" w:eastAsia="Times New Roman" w:hAnsi="Times New Roman"/>
          <w:sz w:val="14"/>
          <w:szCs w:val="14"/>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25" w:lineRule="exact"/>
        <w:rPr>
          <w:sz w:val="20"/>
          <w:szCs w:val="20"/>
          <w:color w:val="auto"/>
        </w:rPr>
      </w:pPr>
    </w:p>
    <w:p>
      <w:pPr>
        <w:ind w:left="1340" w:right="419"/>
        <w:spacing w:after="0" w:line="268" w:lineRule="auto"/>
        <w:rPr>
          <w:sz w:val="20"/>
          <w:szCs w:val="20"/>
          <w:color w:val="auto"/>
        </w:rPr>
      </w:pPr>
      <w:r>
        <w:rPr>
          <w:rFonts w:ascii="Times New Roman" w:cs="Times New Roman" w:eastAsia="Times New Roman" w:hAnsi="Times New Roman"/>
          <w:sz w:val="14"/>
          <w:szCs w:val="14"/>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62" w:lineRule="exact"/>
        <w:rPr>
          <w:sz w:val="20"/>
          <w:szCs w:val="20"/>
          <w:color w:val="auto"/>
        </w:rPr>
      </w:pPr>
    </w:p>
    <w:p>
      <w:pPr>
        <w:ind w:left="2100" w:hanging="335"/>
        <w:spacing w:after="0"/>
        <w:tabs>
          <w:tab w:leader="none" w:pos="21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the debt securities represented by a registered global security registered in their names;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delivery of the debt securities in the definitive form;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the owners or holders of the debt securities under the indenture.</w:t>
      </w:r>
    </w:p>
    <w:p>
      <w:pPr>
        <w:spacing w:after="0" w:line="176" w:lineRule="exact"/>
        <w:rPr>
          <w:sz w:val="20"/>
          <w:szCs w:val="20"/>
          <w:color w:val="auto"/>
        </w:rPr>
      </w:pPr>
    </w:p>
    <w:p>
      <w:pPr>
        <w:ind w:left="1340" w:right="259"/>
        <w:spacing w:after="0" w:line="268" w:lineRule="auto"/>
        <w:rPr>
          <w:sz w:val="20"/>
          <w:szCs w:val="20"/>
          <w:color w:val="auto"/>
        </w:rPr>
      </w:pPr>
      <w:r>
        <w:rPr>
          <w:rFonts w:ascii="Times New Roman" w:cs="Times New Roman" w:eastAsia="Times New Roman" w:hAnsi="Times New Roman"/>
          <w:sz w:val="14"/>
          <w:szCs w:val="14"/>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35" w:lineRule="exact"/>
        <w:rPr>
          <w:sz w:val="20"/>
          <w:szCs w:val="20"/>
          <w:color w:val="auto"/>
        </w:rPr>
      </w:pPr>
    </w:p>
    <w:p>
      <w:pPr>
        <w:ind w:left="1340" w:right="379"/>
        <w:spacing w:after="0" w:line="259" w:lineRule="auto"/>
        <w:rPr>
          <w:sz w:val="20"/>
          <w:szCs w:val="20"/>
          <w:color w:val="auto"/>
        </w:rPr>
      </w:pPr>
      <w:r>
        <w:rPr>
          <w:rFonts w:ascii="Times New Roman" w:cs="Times New Roman" w:eastAsia="Times New Roman" w:hAnsi="Times New Roman"/>
          <w:sz w:val="14"/>
          <w:szCs w:val="14"/>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43" w:lineRule="exact"/>
        <w:rPr>
          <w:sz w:val="20"/>
          <w:szCs w:val="20"/>
          <w:color w:val="auto"/>
        </w:rPr>
      </w:pPr>
    </w:p>
    <w:p>
      <w:pPr>
        <w:ind w:left="1340" w:right="299"/>
        <w:spacing w:after="0" w:line="259" w:lineRule="auto"/>
        <w:rPr>
          <w:sz w:val="20"/>
          <w:szCs w:val="20"/>
          <w:color w:val="auto"/>
        </w:rPr>
      </w:pPr>
      <w:r>
        <w:rPr>
          <w:rFonts w:ascii="Times New Roman" w:cs="Times New Roman" w:eastAsia="Times New Roman" w:hAnsi="Times New Roman"/>
          <w:sz w:val="14"/>
          <w:szCs w:val="14"/>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us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43" w:lineRule="exact"/>
        <w:rPr>
          <w:sz w:val="20"/>
          <w:szCs w:val="20"/>
          <w:color w:val="auto"/>
        </w:rPr>
      </w:pPr>
    </w:p>
    <w:p>
      <w:pPr>
        <w:ind w:left="1340" w:right="239"/>
        <w:spacing w:after="0" w:line="258" w:lineRule="auto"/>
        <w:rPr>
          <w:sz w:val="20"/>
          <w:szCs w:val="20"/>
          <w:color w:val="auto"/>
        </w:rPr>
      </w:pPr>
      <w:r>
        <w:rPr>
          <w:rFonts w:ascii="Times New Roman" w:cs="Times New Roman" w:eastAsia="Times New Roman" w:hAnsi="Times New Roman"/>
          <w:sz w:val="14"/>
          <w:szCs w:val="14"/>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42" w:lineRule="exact"/>
        <w:rPr>
          <w:sz w:val="20"/>
          <w:szCs w:val="20"/>
          <w:color w:val="auto"/>
        </w:rPr>
      </w:pPr>
    </w:p>
    <w:p>
      <w:pPr>
        <w:ind w:left="1340" w:right="299"/>
        <w:spacing w:after="0" w:line="284" w:lineRule="auto"/>
        <w:rPr>
          <w:sz w:val="20"/>
          <w:szCs w:val="20"/>
          <w:color w:val="auto"/>
        </w:rPr>
      </w:pPr>
      <w:r>
        <w:rPr>
          <w:rFonts w:ascii="Times New Roman" w:cs="Times New Roman" w:eastAsia="Times New Roman" w:hAnsi="Times New Roman"/>
          <w:sz w:val="14"/>
          <w:szCs w:val="14"/>
          <w:color w:val="auto"/>
        </w:rPr>
        <w:t>If the depositary for any debt securities represented by a registered global security is at any time unwilling or unable to continue as depositary or ceases to be a clearing agency registered under the Exchange Act, we will</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59"/>
        <w:spacing w:after="0" w:line="258" w:lineRule="auto"/>
        <w:rPr>
          <w:sz w:val="20"/>
          <w:szCs w:val="20"/>
          <w:color w:val="auto"/>
        </w:rPr>
      </w:pPr>
      <w:r>
        <w:rPr>
          <w:rFonts w:ascii="Times New Roman" w:cs="Times New Roman" w:eastAsia="Times New Roman" w:hAnsi="Times New Roman"/>
          <w:sz w:val="14"/>
          <w:szCs w:val="14"/>
          <w:color w:val="auto"/>
        </w:rPr>
        <w:t>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94" w:lineRule="exact"/>
        <w:rPr>
          <w:sz w:val="20"/>
          <w:szCs w:val="20"/>
          <w:color w:val="auto"/>
        </w:rPr>
      </w:pPr>
    </w:p>
    <w:p>
      <w:pPr>
        <w:jc w:val="both"/>
        <w:ind w:left="1340" w:right="299"/>
        <w:spacing w:after="0" w:line="268" w:lineRule="auto"/>
        <w:rPr>
          <w:sz w:val="20"/>
          <w:szCs w:val="20"/>
          <w:color w:val="auto"/>
        </w:rPr>
      </w:pPr>
      <w:r>
        <w:rPr>
          <w:rFonts w:ascii="Times New Roman" w:cs="Times New Roman" w:eastAsia="Times New Roman" w:hAnsi="Times New Roman"/>
          <w:sz w:val="14"/>
          <w:szCs w:val="14"/>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35" w:lineRule="exact"/>
        <w:rPr>
          <w:sz w:val="20"/>
          <w:szCs w:val="20"/>
          <w:color w:val="auto"/>
        </w:rPr>
      </w:pPr>
    </w:p>
    <w:p>
      <w:pPr>
        <w:ind w:left="1340" w:right="299"/>
        <w:spacing w:after="0" w:line="259" w:lineRule="auto"/>
        <w:rPr>
          <w:sz w:val="20"/>
          <w:szCs w:val="20"/>
          <w:color w:val="auto"/>
        </w:rPr>
      </w:pPr>
      <w:r>
        <w:rPr>
          <w:rFonts w:ascii="Times New Roman" w:cs="Times New Roman" w:eastAsia="Times New Roman" w:hAnsi="Times New Roman"/>
          <w:sz w:val="14"/>
          <w:szCs w:val="14"/>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to be called for redemption within one year). We may effect a discharge by irrevocably depositing with the trustee cash or U.S. government obligations, as trust funds, in an amount certified to be sufficient to pay when due, whether at maturity, upon redemption or otherwise, the principal of, and premium, if any, and interest on, the debt securities and any mandatory sinking fund payments.</w:t>
      </w:r>
    </w:p>
    <w:p>
      <w:pPr>
        <w:spacing w:after="0" w:line="143" w:lineRule="exact"/>
        <w:rPr>
          <w:sz w:val="20"/>
          <w:szCs w:val="20"/>
          <w:color w:val="auto"/>
        </w:rPr>
      </w:pPr>
    </w:p>
    <w:p>
      <w:pPr>
        <w:ind w:left="1340" w:right="239"/>
        <w:spacing w:after="0" w:line="262"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67" w:lineRule="exact"/>
        <w:rPr>
          <w:sz w:val="20"/>
          <w:szCs w:val="20"/>
          <w:color w:val="auto"/>
        </w:rPr>
      </w:pPr>
    </w:p>
    <w:p>
      <w:pPr>
        <w:jc w:val="both"/>
        <w:ind w:left="2100" w:right="359" w:hanging="335"/>
        <w:spacing w:after="0" w:line="268" w:lineRule="auto"/>
        <w:tabs>
          <w:tab w:leader="none" w:pos="21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cash or U.S. government obligations, as trust funds, in an amount certified to be sufficient to pay when due (whether at maturity, upon redemption, or otherwise) the principal of, and premium, if any, and interest on all outstanding debt securities of the series; and</w:t>
      </w:r>
    </w:p>
    <w:p>
      <w:pPr>
        <w:spacing w:after="0" w:line="61" w:lineRule="exact"/>
        <w:rPr>
          <w:rFonts w:ascii="Times New Roman" w:cs="Times New Roman" w:eastAsia="Times New Roman" w:hAnsi="Times New Roman"/>
          <w:sz w:val="14"/>
          <w:szCs w:val="14"/>
          <w:color w:val="auto"/>
        </w:rPr>
      </w:pPr>
    </w:p>
    <w:p>
      <w:pPr>
        <w:ind w:left="2100" w:right="219" w:hanging="335"/>
        <w:spacing w:after="0" w:line="259" w:lineRule="auto"/>
        <w:tabs>
          <w:tab w:leader="none" w:pos="21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counsel from a nationally recognized law firm to the effect that the beneficial owners of the series of debt securities will not recognize income, gain or loss for U.S. federal income tax purposes as a result of the legal defeasance or covenant defeasance, as applicable, and that legal defeasance or covenant defeasance, as applicable, will not otherwise alter the beneficial owners’ U.S. federal income tax treatment of principal, premium, if any, and interest payments on the series of debt securities, which opinion, in the case of legal defeasance, must be based on a ruling of the Internal Revenue Service, or a change in U.S. federal income tax law.</w:t>
      </w:r>
    </w:p>
    <w:p>
      <w:pPr>
        <w:spacing w:after="0" w:line="143" w:lineRule="exact"/>
        <w:rPr>
          <w:sz w:val="20"/>
          <w:szCs w:val="20"/>
          <w:color w:val="auto"/>
        </w:rPr>
      </w:pPr>
    </w:p>
    <w:p>
      <w:pPr>
        <w:ind w:left="1340" w:right="399"/>
        <w:spacing w:after="0" w:line="268" w:lineRule="auto"/>
        <w:rPr>
          <w:sz w:val="20"/>
          <w:szCs w:val="20"/>
          <w:color w:val="auto"/>
        </w:rPr>
      </w:pPr>
      <w:r>
        <w:rPr>
          <w:rFonts w:ascii="Times New Roman" w:cs="Times New Roman" w:eastAsia="Times New Roman" w:hAnsi="Times New Roman"/>
          <w:sz w:val="14"/>
          <w:szCs w:val="14"/>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Modifications of the Indenture</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indenture provides that we and the trustee may enter into supplemental indentures without the consent of the holders of debt securities to:</w:t>
      </w:r>
    </w:p>
    <w:p>
      <w:pPr>
        <w:spacing w:after="0" w:line="103" w:lineRule="exact"/>
        <w:rPr>
          <w:sz w:val="20"/>
          <w:szCs w:val="20"/>
          <w:color w:val="auto"/>
        </w:rPr>
      </w:pPr>
    </w:p>
    <w:p>
      <w:pPr>
        <w:ind w:left="2100" w:hanging="335"/>
        <w:spacing w:after="0"/>
        <w:tabs>
          <w:tab w:leader="none" w:pos="21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any debt securities;</w:t>
      </w:r>
    </w:p>
    <w:p>
      <w:pPr>
        <w:spacing w:after="0" w:line="1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assumption by another person of our obligations, as permitted by the indenture;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for the protection of the holders of debt securities of all or any series or to surrender any right or power conferred upon us;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 for the benefit of holders of the debt securities of all or any series;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one or more guarantees for the benefit of holders of the debt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debt securities of any series;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of any applicable securities depository;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debt securities in addition to or in place of certificated debt securities;</w:t>
      </w:r>
    </w:p>
    <w:p>
      <w:pPr>
        <w:spacing w:after="0" w:line="102" w:lineRule="exact"/>
        <w:rPr>
          <w:rFonts w:ascii="Times New Roman" w:cs="Times New Roman" w:eastAsia="Times New Roman" w:hAnsi="Times New Roman"/>
          <w:sz w:val="14"/>
          <w:szCs w:val="14"/>
          <w:color w:val="auto"/>
        </w:rPr>
      </w:pPr>
    </w:p>
    <w:p>
      <w:pPr>
        <w:ind w:left="2100" w:right="239" w:hanging="335"/>
        <w:spacing w:after="0" w:line="262"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of the provisions of the indenture in respect of one or more series of debt securities; provided that any such addition, change or elimination (a) shall neither (1) apply to any debt security of any series created prior to the execution of such supplemental indenture and entitled to the benefit of such provision nor (2) modify the rights of the holder of any such debt security with respect to such provision or (b) shall become effective only when there is no debt security described in clause (a)(1) outstanding;</w:t>
      </w:r>
    </w:p>
    <w:p>
      <w:pPr>
        <w:spacing w:after="0" w:line="66" w:lineRule="exact"/>
        <w:rPr>
          <w:rFonts w:ascii="Times New Roman" w:cs="Times New Roman" w:eastAsia="Times New Roman" w:hAnsi="Times New Roman"/>
          <w:sz w:val="14"/>
          <w:szCs w:val="14"/>
          <w:color w:val="auto"/>
        </w:rPr>
      </w:pPr>
    </w:p>
    <w:p>
      <w:pPr>
        <w:ind w:left="2100" w:right="239" w:hanging="335"/>
        <w:spacing w:after="0" w:line="268"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or any other series of debt securities in any material respect;</w:t>
      </w:r>
    </w:p>
    <w:p>
      <w:pPr>
        <w:spacing w:after="0" w:line="61" w:lineRule="exact"/>
        <w:rPr>
          <w:rFonts w:ascii="Times New Roman" w:cs="Times New Roman" w:eastAsia="Times New Roman" w:hAnsi="Times New Roman"/>
          <w:sz w:val="14"/>
          <w:szCs w:val="14"/>
          <w:color w:val="auto"/>
        </w:rPr>
      </w:pPr>
    </w:p>
    <w:p>
      <w:pPr>
        <w:ind w:left="2100" w:right="299" w:hanging="335"/>
        <w:spacing w:after="0" w:line="284"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or regulations of any securities exchange or automated quotation system on which any of the debt securities may be listed or traded;</w:t>
      </w:r>
    </w:p>
    <w:p>
      <w:pPr>
        <w:spacing w:after="0" w:line="51" w:lineRule="exact"/>
        <w:rPr>
          <w:rFonts w:ascii="Times New Roman" w:cs="Times New Roman" w:eastAsia="Times New Roman" w:hAnsi="Times New Roman"/>
          <w:sz w:val="14"/>
          <w:szCs w:val="14"/>
          <w:color w:val="auto"/>
        </w:rPr>
      </w:pPr>
    </w:p>
    <w:p>
      <w:pPr>
        <w:ind w:left="2100" w:right="279" w:hanging="335"/>
        <w:spacing w:after="0" w:line="268"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of the provisions of the indenture as shall be necessary or desirable in accordance with any amendments to the Trust Indenture Act of 1939, as amended (the “Trust Indenture Act”), provided that such action does not adversely affect the rights or interests of any holder of debt securities in any material respect;</w:t>
      </w:r>
    </w:p>
    <w:p>
      <w:pPr>
        <w:spacing w:after="0" w:line="61" w:lineRule="exact"/>
        <w:rPr>
          <w:rFonts w:ascii="Times New Roman" w:cs="Times New Roman" w:eastAsia="Times New Roman" w:hAnsi="Times New Roman"/>
          <w:sz w:val="14"/>
          <w:szCs w:val="14"/>
          <w:color w:val="auto"/>
        </w:rPr>
      </w:pPr>
    </w:p>
    <w:p>
      <w:pPr>
        <w:ind w:left="2100" w:right="419" w:hanging="335"/>
        <w:spacing w:after="0" w:line="284"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or correct any ambiguity, defect, omission or inconsistency in the indenture; provided that such action does not adversely affect the interests of the holders of debt securities of any series in any material respect;</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forms or terms of debt securities of any series;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the acceptance of appointment by a successor trustee; and</w:t>
      </w:r>
    </w:p>
    <w:p>
      <w:pPr>
        <w:spacing w:after="0" w:line="102" w:lineRule="exact"/>
        <w:rPr>
          <w:rFonts w:ascii="Times New Roman" w:cs="Times New Roman" w:eastAsia="Times New Roman" w:hAnsi="Times New Roman"/>
          <w:sz w:val="14"/>
          <w:szCs w:val="14"/>
          <w:color w:val="auto"/>
        </w:rPr>
      </w:pPr>
    </w:p>
    <w:p>
      <w:pPr>
        <w:ind w:left="2100" w:right="499" w:hanging="335"/>
        <w:spacing w:after="0" w:line="284"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other provision of the indenture; provided that such addition, change or elimination does not adversely affect the interests of the holders of debt securities of any series in any material respect.</w:t>
      </w:r>
    </w:p>
    <w:p>
      <w:pPr>
        <w:spacing w:after="0" w:line="125" w:lineRule="exact"/>
        <w:rPr>
          <w:sz w:val="20"/>
          <w:szCs w:val="20"/>
          <w:color w:val="auto"/>
        </w:rPr>
      </w:pPr>
    </w:p>
    <w:p>
      <w:pPr>
        <w:jc w:val="both"/>
        <w:ind w:left="1340" w:right="319"/>
        <w:spacing w:after="0" w:line="259" w:lineRule="auto"/>
        <w:rPr>
          <w:sz w:val="20"/>
          <w:szCs w:val="20"/>
          <w:color w:val="auto"/>
        </w:rPr>
      </w:pPr>
      <w:r>
        <w:rPr>
          <w:rFonts w:ascii="Times New Roman" w:cs="Times New Roman" w:eastAsia="Times New Roman" w:hAnsi="Times New Roman"/>
          <w:sz w:val="14"/>
          <w:szCs w:val="14"/>
          <w:color w:val="auto"/>
        </w:rPr>
        <w:t>The indenture also provides that we and the trustee may, with the consent of the holders of not less than a majority in aggregate principal amount of the outstanding debt securities of all series of Senior Debt Securities or Subordinated Securities, as the case may be, then outstanding and affected thereby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70" w:lineRule="exact"/>
        <w:rPr>
          <w:sz w:val="20"/>
          <w:szCs w:val="20"/>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final maturity of any debt security;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premium, if any, on any debt security;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or extend the time of payment of interest on any debt security;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 payable on redemption of any debt security;</w:t>
      </w:r>
    </w:p>
    <w:p>
      <w:pPr>
        <w:spacing w:after="0" w:line="1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right="339" w:hanging="335"/>
        <w:spacing w:after="0" w:line="284"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currency in which the principal (other than as may be provided otherwise with respect to a series), premium, if any, or interest is payable on any debt security;</w:t>
      </w:r>
    </w:p>
    <w:p>
      <w:pPr>
        <w:spacing w:after="0" w:line="51" w:lineRule="exact"/>
        <w:rPr>
          <w:rFonts w:ascii="Times New Roman" w:cs="Times New Roman" w:eastAsia="Times New Roman" w:hAnsi="Times New Roman"/>
          <w:sz w:val="14"/>
          <w:szCs w:val="14"/>
          <w:color w:val="auto"/>
        </w:rPr>
      </w:pPr>
    </w:p>
    <w:p>
      <w:pPr>
        <w:ind w:left="2100" w:right="279" w:hanging="335"/>
        <w:spacing w:after="0" w:line="284"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the principal of any debt security issued with an original issue discount that is payable upon acceleration or provable in bankruptcy;</w:t>
      </w:r>
    </w:p>
    <w:p>
      <w:pPr>
        <w:spacing w:after="0" w:line="51" w:lineRule="exact"/>
        <w:rPr>
          <w:rFonts w:ascii="Times New Roman" w:cs="Times New Roman" w:eastAsia="Times New Roman" w:hAnsi="Times New Roman"/>
          <w:sz w:val="14"/>
          <w:szCs w:val="14"/>
          <w:color w:val="auto"/>
        </w:rPr>
      </w:pPr>
    </w:p>
    <w:p>
      <w:pPr>
        <w:ind w:left="2100" w:right="319" w:hanging="335"/>
        <w:spacing w:after="0" w:line="284"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subordination provisions or the definition of senior indebtedness applicable to any Subordinated Securities in a manner adverse to the holders of those securities;</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provisions of the indenture relating to the debt securities not denominated in U.S. dollars;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any debt security when due; or</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of any series whose consent is required for any modification of the indenture.</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4" w:lineRule="exact"/>
        <w:rPr>
          <w:sz w:val="20"/>
          <w:szCs w:val="20"/>
          <w:color w:val="auto"/>
        </w:rPr>
      </w:pPr>
    </w:p>
    <w:p>
      <w:pPr>
        <w:ind w:left="1340" w:right="219"/>
        <w:spacing w:after="0" w:line="256" w:lineRule="auto"/>
        <w:rPr>
          <w:sz w:val="20"/>
          <w:szCs w:val="20"/>
          <w:color w:val="auto"/>
        </w:rPr>
      </w:pPr>
      <w:r>
        <w:rPr>
          <w:rFonts w:ascii="Times New Roman" w:cs="Times New Roman" w:eastAsia="Times New Roman" w:hAnsi="Times New Roman"/>
          <w:sz w:val="14"/>
          <w:szCs w:val="14"/>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accompanying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and premium, if any, and interest on, and all registration, transfer, exchange, authentication and delivery (including authentication and delivery on original issuance of the debt securities) of, the debt securities of a series will be effected by the trustee with respect to such series at an office designated by the trustee.</w:t>
      </w:r>
    </w:p>
    <w:p>
      <w:pPr>
        <w:spacing w:after="0" w:line="144" w:lineRule="exact"/>
        <w:rPr>
          <w:sz w:val="20"/>
          <w:szCs w:val="20"/>
          <w:color w:val="auto"/>
        </w:rPr>
      </w:pPr>
    </w:p>
    <w:p>
      <w:pPr>
        <w:ind w:left="1340" w:right="379"/>
        <w:spacing w:after="0" w:line="268" w:lineRule="auto"/>
        <w:rPr>
          <w:sz w:val="20"/>
          <w:szCs w:val="20"/>
          <w:color w:val="auto"/>
        </w:rPr>
      </w:pPr>
      <w:r>
        <w:rPr>
          <w:rFonts w:ascii="Times New Roman" w:cs="Times New Roman" w:eastAsia="Times New Roman" w:hAnsi="Times New Roman"/>
          <w:sz w:val="14"/>
          <w:szCs w:val="14"/>
          <w:color w:val="auto"/>
        </w:rPr>
        <w:t>The indenture contains limitations on the right of the trustee, should it become a creditor of us,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35" w:lineRule="exact"/>
        <w:rPr>
          <w:sz w:val="20"/>
          <w:szCs w:val="20"/>
          <w:color w:val="auto"/>
        </w:rPr>
      </w:pPr>
    </w:p>
    <w:p>
      <w:pPr>
        <w:ind w:left="1340" w:right="239"/>
        <w:spacing w:after="0" w:line="256"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 Individual Liability of Incorporators, Stockholders, Officers or Directors</w:t>
      </w:r>
    </w:p>
    <w:p>
      <w:pPr>
        <w:spacing w:after="0" w:line="94" w:lineRule="exact"/>
        <w:rPr>
          <w:sz w:val="20"/>
          <w:szCs w:val="20"/>
          <w:color w:val="auto"/>
        </w:rPr>
      </w:pPr>
    </w:p>
    <w:p>
      <w:pPr>
        <w:ind w:left="1340" w:right="539"/>
        <w:spacing w:after="0" w:line="284" w:lineRule="auto"/>
        <w:rPr>
          <w:sz w:val="20"/>
          <w:szCs w:val="20"/>
          <w:color w:val="auto"/>
        </w:rPr>
      </w:pPr>
      <w:r>
        <w:rPr>
          <w:rFonts w:ascii="Times New Roman" w:cs="Times New Roman" w:eastAsia="Times New Roman" w:hAnsi="Times New Roman"/>
          <w:sz w:val="14"/>
          <w:szCs w:val="14"/>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w:t>
      </w:r>
    </w:p>
    <w:p>
      <w:pPr>
        <w:spacing w:after="0" w:line="1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may issue debt warrants for the purchase of debt securities or stock warrants for the purchase of preferred stock or common stock.</w:t>
      </w:r>
    </w:p>
    <w:p>
      <w:pPr>
        <w:spacing w:after="0" w:line="176" w:lineRule="exact"/>
        <w:rPr>
          <w:sz w:val="20"/>
          <w:szCs w:val="20"/>
          <w:color w:val="auto"/>
        </w:rPr>
      </w:pPr>
    </w:p>
    <w:p>
      <w:pPr>
        <w:ind w:left="1340" w:right="399"/>
        <w:spacing w:after="0" w:line="262" w:lineRule="auto"/>
        <w:rPr>
          <w:sz w:val="20"/>
          <w:szCs w:val="20"/>
          <w:color w:val="auto"/>
        </w:rPr>
      </w:pPr>
      <w:r>
        <w:rPr>
          <w:rFonts w:ascii="Times New Roman" w:cs="Times New Roman" w:eastAsia="Times New Roman" w:hAnsi="Times New Roman"/>
          <w:sz w:val="14"/>
          <w:szCs w:val="14"/>
          <w:color w:val="auto"/>
        </w:rPr>
        <w:t>The warrants will be issued under warrant agreements to be entered into between us and the purchasers or between us and a bank or trust company, as warrant agent, all to be set forth in the applicable prospectus supplement relating to any or all warrants in respect of which this prospectus is being delivered. We will file a copy of the warrant and warrant agreement with the SEC each time we issue a series of warrants, and these warrants and warrant agreements will be incorporated by reference into the registration statement of which this prospectus forms a part.</w:t>
      </w:r>
    </w:p>
    <w:p>
      <w:pPr>
        <w:spacing w:after="0" w:line="140" w:lineRule="exact"/>
        <w:rPr>
          <w:sz w:val="20"/>
          <w:szCs w:val="20"/>
          <w:color w:val="auto"/>
        </w:rPr>
      </w:pPr>
    </w:p>
    <w:p>
      <w:pPr>
        <w:ind w:left="1340" w:right="239"/>
        <w:spacing w:after="0" w:line="259" w:lineRule="auto"/>
        <w:rPr>
          <w:sz w:val="20"/>
          <w:szCs w:val="20"/>
          <w:color w:val="auto"/>
        </w:rPr>
      </w:pPr>
      <w:r>
        <w:rPr>
          <w:rFonts w:ascii="Times New Roman" w:cs="Times New Roman" w:eastAsia="Times New Roman" w:hAnsi="Times New Roman"/>
          <w:sz w:val="14"/>
          <w:szCs w:val="14"/>
          <w:color w:val="auto"/>
        </w:rPr>
        <w:t>The following description sets forth certain general terms and provisions of the warrants to which any applicable prospectus supplement may relate. The particular terms of the warrants to which any applicable prospectus supplement may relate and the extent, if any, to which such general provisions may apply to the warrants so offered will be described in the applicable prospectus supplement. The following summary of certain provisions of the warrants, warrant agreements and warrant certificates does not purport to be complete and is subject to, and is qualified in its entirety by express reference to, all the provisions of the warrant agreements and warrant certificates, including the definitions therein of certain terms.</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92" w:lineRule="exact"/>
        <w:rPr>
          <w:sz w:val="20"/>
          <w:szCs w:val="20"/>
          <w:color w:val="auto"/>
        </w:rPr>
      </w:pPr>
    </w:p>
    <w:p>
      <w:pPr>
        <w:jc w:val="both"/>
        <w:ind w:left="1340" w:right="739"/>
        <w:spacing w:after="0" w:line="269"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Reference is made to the applicable prospectus supplement for the terms of debt warrants in respect of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debt securities warrant agreement relating to such debt warrants and the debt warrant certificates representing such debt warrants, including the following:</w:t>
      </w:r>
    </w:p>
    <w:p>
      <w:pPr>
        <w:spacing w:after="0" w:line="62" w:lineRule="exact"/>
        <w:rPr>
          <w:sz w:val="20"/>
          <w:szCs w:val="20"/>
          <w:color w:val="auto"/>
        </w:rPr>
      </w:pPr>
    </w:p>
    <w:p>
      <w:pPr>
        <w:ind w:left="2100" w:right="599" w:hanging="335"/>
        <w:spacing w:after="0" w:line="284" w:lineRule="auto"/>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terms of the debt securities purchasable upon exercise of such debt warrants and the procedures and conditions relating to the exercise of such debt warrants;</w:t>
      </w:r>
    </w:p>
    <w:p>
      <w:pPr>
        <w:spacing w:after="0" w:line="51" w:lineRule="exact"/>
        <w:rPr>
          <w:rFonts w:ascii="Times New Roman" w:cs="Times New Roman" w:eastAsia="Times New Roman" w:hAnsi="Times New Roman"/>
          <w:sz w:val="14"/>
          <w:szCs w:val="14"/>
          <w:color w:val="auto"/>
        </w:rPr>
      </w:pPr>
    </w:p>
    <w:p>
      <w:pPr>
        <w:ind w:left="2100" w:right="479" w:hanging="335"/>
        <w:spacing w:after="0" w:line="284" w:lineRule="auto"/>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related debt securities with which such debt warrants are issued and the number of such debt warrants issued with each such debt security;</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debt warrants and any related offered securities will be separately transferable;</w:t>
      </w:r>
    </w:p>
    <w:p>
      <w:pPr>
        <w:spacing w:after="0" w:line="102" w:lineRule="exact"/>
        <w:rPr>
          <w:rFonts w:ascii="Times New Roman" w:cs="Times New Roman" w:eastAsia="Times New Roman" w:hAnsi="Times New Roman"/>
          <w:sz w:val="14"/>
          <w:szCs w:val="14"/>
          <w:color w:val="auto"/>
        </w:rPr>
      </w:pPr>
    </w:p>
    <w:p>
      <w:pPr>
        <w:ind w:left="2100" w:right="479" w:hanging="335"/>
        <w:spacing w:after="0" w:line="284" w:lineRule="auto"/>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each debt warrant and the price at which such principal amount of debt securities may be purchased upon such exercise;</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debt warrants shall commence and the date on which such right shall expire;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ownership or exercise of debt warrants;</w:t>
      </w:r>
    </w:p>
    <w:p>
      <w:pPr>
        <w:spacing w:after="0" w:line="102" w:lineRule="exact"/>
        <w:rPr>
          <w:rFonts w:ascii="Times New Roman" w:cs="Times New Roman" w:eastAsia="Times New Roman" w:hAnsi="Times New Roman"/>
          <w:sz w:val="14"/>
          <w:szCs w:val="14"/>
          <w:color w:val="auto"/>
        </w:rPr>
      </w:pPr>
    </w:p>
    <w:p>
      <w:pPr>
        <w:ind w:left="2100" w:right="319" w:hanging="335"/>
        <w:spacing w:after="0" w:line="284" w:lineRule="auto"/>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will be issued in registered or bearer form, and, if registered, where they may be transferred and registered;</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provisions of such debt warrants, if any;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warrants.</w:t>
      </w:r>
    </w:p>
    <w:p>
      <w:pPr>
        <w:spacing w:after="0" w:line="176" w:lineRule="exact"/>
        <w:rPr>
          <w:sz w:val="20"/>
          <w:szCs w:val="20"/>
          <w:color w:val="auto"/>
        </w:rPr>
      </w:pPr>
    </w:p>
    <w:p>
      <w:pPr>
        <w:ind w:left="1340" w:right="239"/>
        <w:spacing w:after="0" w:line="262" w:lineRule="auto"/>
        <w:rPr>
          <w:sz w:val="20"/>
          <w:szCs w:val="20"/>
          <w:color w:val="auto"/>
        </w:rPr>
      </w:pPr>
      <w:r>
        <w:rPr>
          <w:rFonts w:ascii="Times New Roman" w:cs="Times New Roman" w:eastAsia="Times New Roman" w:hAnsi="Times New Roman"/>
          <w:sz w:val="14"/>
          <w:szCs w:val="14"/>
          <w:color w:val="auto"/>
        </w:rPr>
        <w:t>The debt warrant certificates will be exchangeable for new debt warrant certificates of different denominations and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such exercise and will not be entitled to any payments of principal and premium, if any, and interest, if any, on the debt securities purchasable upon such exercise.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right="219"/>
        <w:spacing w:after="0" w:line="260" w:lineRule="auto"/>
        <w:rPr>
          <w:sz w:val="20"/>
          <w:szCs w:val="20"/>
          <w:color w:val="auto"/>
        </w:rPr>
      </w:pPr>
      <w:r>
        <w:rPr>
          <w:rFonts w:ascii="Times New Roman" w:cs="Times New Roman" w:eastAsia="Times New Roman" w:hAnsi="Times New Roman"/>
          <w:sz w:val="14"/>
          <w:szCs w:val="14"/>
          <w:i w:val="1"/>
          <w:iCs w:val="1"/>
          <w:color w:val="auto"/>
        </w:rPr>
        <w:t>Exercise of Debt Warrants</w:t>
      </w:r>
      <w:r>
        <w:rPr>
          <w:rFonts w:ascii="Times New Roman" w:cs="Times New Roman" w:eastAsia="Times New Roman" w:hAnsi="Times New Roman"/>
          <w:sz w:val="14"/>
          <w:szCs w:val="14"/>
          <w:color w:val="auto"/>
        </w:rPr>
        <w:t>. Each debt warrant will entitle the holder to purchase for cash such principal amount of debt securities at such exercise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shall in each case be set forth in, or be determinable as set forth in, the applicable prospectus supplement relating to the debt warrants offered thereby. Unless otherwise specified in the applicable prospectus supplement, debt warrants may be exercised at any time up to 5:00 p.m., New York City time, on the expiration date set forth in the applicable prospectus supplement. After 5:00 p.m., New York City time, on the expiration date, unexercised debt warrants will become void.</w:t>
      </w:r>
    </w:p>
    <w:p>
      <w:pPr>
        <w:spacing w:after="0" w:line="142" w:lineRule="exact"/>
        <w:rPr>
          <w:sz w:val="20"/>
          <w:szCs w:val="20"/>
          <w:color w:val="auto"/>
        </w:rPr>
      </w:pPr>
    </w:p>
    <w:p>
      <w:pPr>
        <w:ind w:left="1340" w:right="279"/>
        <w:spacing w:after="0" w:line="262" w:lineRule="auto"/>
        <w:rPr>
          <w:sz w:val="20"/>
          <w:szCs w:val="20"/>
          <w:color w:val="auto"/>
        </w:rPr>
      </w:pPr>
      <w:r>
        <w:rPr>
          <w:rFonts w:ascii="Times New Roman" w:cs="Times New Roman" w:eastAsia="Times New Roman" w:hAnsi="Times New Roman"/>
          <w:sz w:val="14"/>
          <w:szCs w:val="14"/>
          <w:color w:val="auto"/>
        </w:rPr>
        <w:t>Debt warrants may be exercised as set forth in the applicable prospectus supplement relating to the debt warrants. Upon receipt of payment and the debt warrant certificate properly completed and duly executed at the corporate trust office of the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Stock Warrants</w:t>
      </w:r>
    </w:p>
    <w:p>
      <w:pPr>
        <w:spacing w:after="0" w:line="92" w:lineRule="exact"/>
        <w:rPr>
          <w:sz w:val="20"/>
          <w:szCs w:val="20"/>
          <w:color w:val="auto"/>
        </w:rPr>
      </w:pPr>
    </w:p>
    <w:p>
      <w:pPr>
        <w:ind w:left="1340" w:right="319"/>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Reference is made to the applicable prospectus supplement for the terms of stock warrants in respect of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stock warrant agreement relating to such stock warrants and the stock warrant certificates representing such stock warrants, including the following:</w:t>
      </w:r>
    </w:p>
    <w:p>
      <w:pPr>
        <w:spacing w:after="0" w:line="62" w:lineRule="exact"/>
        <w:rPr>
          <w:sz w:val="20"/>
          <w:szCs w:val="20"/>
          <w:color w:val="auto"/>
        </w:rPr>
      </w:pPr>
    </w:p>
    <w:p>
      <w:pPr>
        <w:ind w:left="2100" w:right="419" w:hanging="335"/>
        <w:spacing w:after="0" w:line="284" w:lineRule="auto"/>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number of shares of preferred stock or common stock purchasable upon exercise of such stock warrants and the procedures and conditions relating to the exercise of such stock warrants;</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stock warrants and related offered securities will be separately tradeable;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of such stock warrants, if any;</w:t>
      </w:r>
    </w:p>
    <w:p>
      <w:pPr>
        <w:spacing w:after="0" w:line="102" w:lineRule="exact"/>
        <w:rPr>
          <w:rFonts w:ascii="Times New Roman" w:cs="Times New Roman" w:eastAsia="Times New Roman" w:hAnsi="Times New Roman"/>
          <w:sz w:val="14"/>
          <w:szCs w:val="14"/>
          <w:color w:val="auto"/>
        </w:rPr>
      </w:pPr>
    </w:p>
    <w:p>
      <w:pPr>
        <w:ind w:left="2100" w:right="379" w:hanging="335"/>
        <w:spacing w:after="0" w:line="284" w:lineRule="auto"/>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price at which such shares may be purchased upon exercise of stock warrants and any provision with respect to the adjustment thereof;</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stock warrants shall commence and the date on which such right shall expire;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ownership or exercise of stock warrants;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provisions of such stock warrants, if any;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stock warrants, if any;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stock warrants;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relating to any preferred stock purchasable upon exercise of such stock warrants.</w:t>
      </w:r>
    </w:p>
    <w:p>
      <w:pPr>
        <w:spacing w:after="0" w:line="176" w:lineRule="exact"/>
        <w:rPr>
          <w:sz w:val="20"/>
          <w:szCs w:val="20"/>
          <w:color w:val="auto"/>
        </w:rPr>
      </w:pPr>
    </w:p>
    <w:p>
      <w:pPr>
        <w:ind w:left="1340" w:right="239"/>
        <w:spacing w:after="0" w:line="262" w:lineRule="auto"/>
        <w:rPr>
          <w:sz w:val="20"/>
          <w:szCs w:val="20"/>
          <w:color w:val="auto"/>
        </w:rPr>
      </w:pPr>
      <w:r>
        <w:rPr>
          <w:rFonts w:ascii="Times New Roman" w:cs="Times New Roman" w:eastAsia="Times New Roman" w:hAnsi="Times New Roman"/>
          <w:sz w:val="14"/>
          <w:szCs w:val="14"/>
          <w:color w:val="auto"/>
        </w:rPr>
        <w:t>The stock warrant certificates will be exchangeable for new stock warrant certificates of different denominations and stock warrants may be exercised at the corporate trust office of the warrant agent or any other office indicated in the applicable prospectus supplement. Prior to the exercise of their stock warrants, holders of stock warrants will not have any of the rights of holders of shares of capital stock purchasable upon such exercise, and will not be entitled to any dividend payments on such capital stock purchasable upon such exercise.</w:t>
      </w:r>
    </w:p>
    <w:p>
      <w:pPr>
        <w:spacing w:after="0" w:line="138" w:lineRule="exact"/>
        <w:rPr>
          <w:sz w:val="20"/>
          <w:szCs w:val="20"/>
          <w:color w:val="auto"/>
        </w:rPr>
      </w:pPr>
    </w:p>
    <w:p>
      <w:pPr>
        <w:ind w:left="1340" w:right="219"/>
        <w:spacing w:after="0" w:line="260" w:lineRule="auto"/>
        <w:rPr>
          <w:sz w:val="20"/>
          <w:szCs w:val="20"/>
          <w:color w:val="auto"/>
        </w:rPr>
      </w:pPr>
      <w:r>
        <w:rPr>
          <w:rFonts w:ascii="Times New Roman" w:cs="Times New Roman" w:eastAsia="Times New Roman" w:hAnsi="Times New Roman"/>
          <w:sz w:val="14"/>
          <w:szCs w:val="14"/>
          <w:i w:val="1"/>
          <w:iCs w:val="1"/>
          <w:color w:val="auto"/>
        </w:rPr>
        <w:t>Exercise of Stock Warrants</w:t>
      </w:r>
      <w:r>
        <w:rPr>
          <w:rFonts w:ascii="Times New Roman" w:cs="Times New Roman" w:eastAsia="Times New Roman" w:hAnsi="Times New Roman"/>
          <w:sz w:val="14"/>
          <w:szCs w:val="14"/>
          <w:color w:val="auto"/>
        </w:rPr>
        <w:t>. Each stock warrant will entitle the holder to purchase for cash such number of shares of preferred stock or common stock,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case may be, at such exercise price as shall in each case be set forth in, or be determinable as set forth in, the applicable prospectus supplement relating to the stock warrants offered thereby. Unless otherwise specified in the applicable prospectus supplement, stock warrants may be exercised at any time up to 5:00 p.m., California time, on the expiration date set forth in the applicable prospectus supplement. After 5:00 p.m., California time, on the expiration date, unexercised stock warrants will become void.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59"/>
        <w:spacing w:after="0" w:line="259" w:lineRule="auto"/>
        <w:rPr>
          <w:sz w:val="20"/>
          <w:szCs w:val="20"/>
          <w:color w:val="auto"/>
        </w:rPr>
      </w:pPr>
      <w:r>
        <w:rPr>
          <w:rFonts w:ascii="Times New Roman" w:cs="Times New Roman" w:eastAsia="Times New Roman" w:hAnsi="Times New Roman"/>
          <w:sz w:val="14"/>
          <w:szCs w:val="14"/>
          <w:color w:val="auto"/>
        </w:rPr>
        <w:t>Stock warrants may be exercised as set forth in the applicable prospectus supplement relating thereto. Upon receipt of payment and the stock warrant certificates properly completed and duly executed at the corporate trust office of the warrant agent or any other office indicated in the applicable prospectus supplement, we will, as soon as practicable, forward a certificate representing the number of shares of capital stock purchasable upon such exercise. If less than all of the stock warrants represented by such stock warrant certificate are exercised, a new stock warrant certificate will be issued for the remaining amount of stock warrants.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78" w:lineRule="exact"/>
        <w:rPr>
          <w:sz w:val="20"/>
          <w:szCs w:val="20"/>
          <w:color w:val="auto"/>
        </w:rPr>
      </w:pPr>
    </w:p>
    <w:p>
      <w:pPr>
        <w:ind w:left="1340" w:right="239"/>
        <w:spacing w:after="0" w:line="258" w:lineRule="auto"/>
        <w:rPr>
          <w:sz w:val="20"/>
          <w:szCs w:val="20"/>
          <w:color w:val="auto"/>
        </w:rPr>
      </w:pPr>
      <w:r>
        <w:rPr>
          <w:rFonts w:ascii="Times New Roman" w:cs="Times New Roman" w:eastAsia="Times New Roman" w:hAnsi="Times New Roman"/>
          <w:sz w:val="14"/>
          <w:szCs w:val="14"/>
          <w:color w:val="auto"/>
        </w:rPr>
        <w:t>As previously disclosed, on May 13, 2025, we entered into a subscription agreement with the selling stockholder, pursuant to which we agreed to sell and issue in a private placement (the “Private Placement”) an aggregate of 3,509,719 shares of common stock at a price of $9.26 per share, for aggregate gross proceeds of approximately $32.5 million. The closing of the Private Placement occurred on August 20, 2025. This prospectus covers the resale or other disposition from time to time by the selling stockholder of the resale shares that were issued to the selling stockholder by us in the Private Placement. We are registering the offer and sale of the resale shares to satisfy certain registration obligations that we granted the selling stockholder in connection with the Private Placement.</w:t>
      </w:r>
    </w:p>
    <w:p>
      <w:pPr>
        <w:spacing w:after="0" w:line="142" w:lineRule="exact"/>
        <w:rPr>
          <w:sz w:val="20"/>
          <w:szCs w:val="20"/>
          <w:color w:val="auto"/>
        </w:rPr>
      </w:pPr>
    </w:p>
    <w:p>
      <w:pPr>
        <w:ind w:left="1340" w:right="299"/>
        <w:spacing w:after="0" w:line="258" w:lineRule="auto"/>
        <w:rPr>
          <w:sz w:val="20"/>
          <w:szCs w:val="20"/>
          <w:color w:val="auto"/>
        </w:rPr>
      </w:pPr>
      <w:r>
        <w:rPr>
          <w:rFonts w:ascii="Times New Roman" w:cs="Times New Roman" w:eastAsia="Times New Roman" w:hAnsi="Times New Roman"/>
          <w:sz w:val="14"/>
          <w:szCs w:val="14"/>
          <w:color w:val="auto"/>
        </w:rPr>
        <w:t>The following table sets forth certain information provided by or on behalf of the selling stockholder concerning the common stock that may be offered from time to time by such selling stockholder pursuant to this prospectus. The selling stockholder identified below may have sold, transferred, or otherwise disposed of all or a portion of their securities after the date on which they provided us with information regarding their securities. Any changed or new information given to us by the selling stockholder, including regarding the identity of, and the securities held by, such selling stockholder, will be set forth in a prospectus supplement or amendments to the registration statement of which this prospectus is a part, if and when necessary. The selling stockholder may sell all, some or none of such securities in this offering. See “Plan of Distribution.”</w:t>
      </w:r>
    </w:p>
    <w:p>
      <w:pPr>
        <w:spacing w:after="0" w:line="142" w:lineRule="exact"/>
        <w:rPr>
          <w:sz w:val="20"/>
          <w:szCs w:val="20"/>
          <w:color w:val="auto"/>
        </w:rPr>
      </w:pPr>
    </w:p>
    <w:p>
      <w:pPr>
        <w:ind w:left="1340" w:right="339"/>
        <w:spacing w:after="0" w:line="258" w:lineRule="auto"/>
        <w:rPr>
          <w:sz w:val="20"/>
          <w:szCs w:val="20"/>
          <w:color w:val="auto"/>
        </w:rPr>
      </w:pPr>
      <w:r>
        <w:rPr>
          <w:rFonts w:ascii="Times New Roman" w:cs="Times New Roman" w:eastAsia="Times New Roman" w:hAnsi="Times New Roman"/>
          <w:sz w:val="14"/>
          <w:szCs w:val="14"/>
          <w:color w:val="auto"/>
        </w:rPr>
        <w:t>The table is based on information supplied to us by the selling stockholder, with beneficial ownership and percentage ownership determined in accordance with the rules and regulations of the SEC. This information does not necessarily indicate beneficial ownership for any other purpose. We have based our calculation of the percentage of beneficial ownership of the selling stockholder before the offering on 62,984,603 shares of common stock outstanding as of March 31, 2026. Percentage ownership of shares of our common stock after this offering gives effect to the sale by the selling stockholder of 3,509,719 shares of our common stock in this offering. The information in this table assumes the sale of all shares offered by the selling stockholder and that the selling stockholder does not acquire any additional shares.</w:t>
      </w:r>
    </w:p>
    <w:p>
      <w:pPr>
        <w:spacing w:after="0" w:line="142" w:lineRule="exact"/>
        <w:rPr>
          <w:sz w:val="20"/>
          <w:szCs w:val="20"/>
          <w:color w:val="auto"/>
        </w:rPr>
      </w:pPr>
    </w:p>
    <w:p>
      <w:pPr>
        <w:ind w:left="1340" w:right="279"/>
        <w:spacing w:after="0" w:line="262" w:lineRule="auto"/>
        <w:rPr>
          <w:sz w:val="20"/>
          <w:szCs w:val="20"/>
          <w:color w:val="auto"/>
        </w:rPr>
      </w:pPr>
      <w:r>
        <w:rPr>
          <w:rFonts w:ascii="Times New Roman" w:cs="Times New Roman" w:eastAsia="Times New Roman" w:hAnsi="Times New Roman"/>
          <w:sz w:val="14"/>
          <w:szCs w:val="14"/>
          <w:color w:val="auto"/>
        </w:rPr>
        <w:t>The registration for resale of the shares does not mean that the selling stockholder will sell or otherwise dispose of all or any of these shares of common stock. The selling stockholder may sell or otherwise dispose of all, a portion or none of such shares from time to time. We do not know the number of shares, if any, that will be offered for sale or other disposition by the selling stockholder under this prospectus. We currently have no agreements, arrangements or understandings with the selling stockholder regarding the sale of any of the shares.</w:t>
      </w:r>
    </w:p>
    <w:p>
      <w:pPr>
        <w:spacing w:after="0" w:line="146"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80" w:type="dxa"/>
            <w:vAlign w:val="bottom"/>
            <w:gridSpan w:val="2"/>
            <w:vMerge w:val="restart"/>
          </w:tcPr>
          <w:p>
            <w:pPr>
              <w:jc w:val="center"/>
              <w:ind w:left="30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gridSpan w:val="4"/>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2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14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gridSpan w:val="4"/>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10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to be Sold in</w:t>
            </w:r>
          </w:p>
        </w:tc>
        <w:tc>
          <w:tcPr>
            <w:tcW w:w="114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After this</w:t>
            </w:r>
          </w:p>
        </w:tc>
        <w:tc>
          <w:tcPr>
            <w:tcW w:w="0" w:type="dxa"/>
            <w:vAlign w:val="bottom"/>
          </w:tcPr>
          <w:p>
            <w:pPr>
              <w:spacing w:after="0"/>
              <w:rPr>
                <w:sz w:val="1"/>
                <w:szCs w:val="1"/>
                <w:color w:val="auto"/>
              </w:rPr>
            </w:pPr>
          </w:p>
        </w:tc>
      </w:tr>
      <w:tr>
        <w:trPr>
          <w:trHeight w:val="135"/>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3420" w:type="dxa"/>
            <w:vAlign w:val="bottom"/>
            <w:vMerge w:val="restart"/>
          </w:tcPr>
          <w:p>
            <w:pPr>
              <w:spacing w:after="0"/>
              <w:rPr>
                <w:sz w:val="11"/>
                <w:szCs w:val="11"/>
                <w:color w:val="auto"/>
              </w:rPr>
            </w:pPr>
          </w:p>
        </w:tc>
        <w:tc>
          <w:tcPr>
            <w:tcW w:w="164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Prior to this Offering</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this Offering</w:t>
            </w: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Offering (1)</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880" w:type="dxa"/>
            <w:vAlign w:val="bottom"/>
            <w:tcBorders>
              <w:top w:val="single" w:sz="8" w:color="auto"/>
            </w:tcBorders>
            <w:gridSpan w:val="2"/>
          </w:tcPr>
          <w:p>
            <w:pPr>
              <w:ind w:left="100"/>
              <w:spacing w:after="0" w:line="96" w:lineRule="exact"/>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Borders>
              <w:top w:val="single" w:sz="8" w:color="auto"/>
            </w:tcBorders>
          </w:tcPr>
          <w:p>
            <w:pPr>
              <w:spacing w:after="0" w:line="9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380" w:type="dxa"/>
            <w:vAlign w:val="bottom"/>
          </w:tcPr>
          <w:p>
            <w:pPr>
              <w:spacing w:after="0"/>
              <w:rPr>
                <w:sz w:val="10"/>
                <w:szCs w:val="10"/>
                <w:color w:val="auto"/>
              </w:rPr>
            </w:pPr>
          </w:p>
        </w:tc>
        <w:tc>
          <w:tcPr>
            <w:tcW w:w="76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0"/>
                <w:szCs w:val="10"/>
                <w:color w:val="auto"/>
              </w:rPr>
            </w:pPr>
          </w:p>
        </w:tc>
        <w:tc>
          <w:tcPr>
            <w:tcW w:w="700" w:type="dxa"/>
            <w:vAlign w:val="bottom"/>
            <w:tcBorders>
              <w:top w:val="single" w:sz="8" w:color="auto"/>
            </w:tcBorders>
            <w:gridSpan w:val="2"/>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0" w:type="dxa"/>
            <w:vAlign w:val="bottom"/>
            <w:tcBorders>
              <w:top w:val="single" w:sz="8" w:color="auto"/>
            </w:tcBorders>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80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LG Innotek Co., Ltd.</w:t>
            </w: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 Magokjungang 10-ro, Gangseo-gu, Seoul, South Korea</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3,509,719</w:t>
            </w:r>
          </w:p>
        </w:tc>
        <w:tc>
          <w:tcPr>
            <w:tcW w:w="26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5.6%</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3,509,719</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80" w:right="259" w:hanging="337"/>
        <w:spacing w:after="0" w:line="258"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when or in what amounts the selling stockholder may offer to sell the resale shares. The selling stockholder might not sell any or might sell all of the resale shares. Because the selling stockholder may offer all or some of the resale shares pursuant to this offering, and because, except as set forth elsewhere in this prospectus supplement, there are currently no agreements, arrangements or understandings with respect to the sale of any of the resale shares, we cannot estimate the number of resale shares that will be held by the selling stockholder after completion of the offering. However, for purposes of this table, we have assumed that after completion of the offering, none of the resale shares will be held by the selling stockholder.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40" w:right="299"/>
        <w:spacing w:after="0" w:line="268" w:lineRule="auto"/>
        <w:rPr>
          <w:sz w:val="20"/>
          <w:szCs w:val="20"/>
          <w:color w:val="auto"/>
        </w:rPr>
      </w:pPr>
      <w:r>
        <w:rPr>
          <w:rFonts w:ascii="Times New Roman" w:cs="Times New Roman" w:eastAsia="Times New Roman" w:hAnsi="Times New Roman"/>
          <w:sz w:val="14"/>
          <w:szCs w:val="14"/>
          <w:color w:val="auto"/>
        </w:rPr>
        <w:t>The validity of the securities being offered hereby is being passed upon for us by Gunderson Dettmer Stough Villeneuve Franklin &amp; Hachigian, LLP, Redwood City, California. As appropriate, any underwriters will also be advised about the validity of the securities and other legal matters by their own counsel, which will be named in the applicable prospectus supplement.</w:t>
      </w:r>
    </w:p>
    <w:p>
      <w:pPr>
        <w:spacing w:after="0" w:line="30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40" w:right="259"/>
        <w:spacing w:after="0" w:line="268"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by reference have been audited by Deloitte &amp; Touche LLP, an independent registered public accounting firm, as stated in their report. Such financial statements are incorporated in reliance upon the report of such firm given their authority as experts in accounting and auditing.</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40" w:right="299"/>
        <w:spacing w:after="0" w:line="268"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https://www.aeva.com. Information accessible on or through our website is not incorporated herein or a part of this prospectus.</w:t>
      </w:r>
    </w:p>
    <w:p>
      <w:pPr>
        <w:spacing w:after="0" w:line="135" w:lineRule="exact"/>
        <w:rPr>
          <w:sz w:val="20"/>
          <w:szCs w:val="20"/>
          <w:color w:val="auto"/>
        </w:rPr>
      </w:pPr>
    </w:p>
    <w:p>
      <w:pPr>
        <w:ind w:left="1340" w:right="259"/>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the securities we or the selling stockholder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8" w:lineRule="exact"/>
        <w:rPr>
          <w:sz w:val="20"/>
          <w:szCs w:val="20"/>
          <w:color w:val="auto"/>
        </w:rPr>
      </w:pPr>
    </w:p>
    <w:p>
      <w:pPr>
        <w:ind w:left="1340" w:right="239"/>
        <w:spacing w:after="0" w:line="255"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to the extent set forth herein,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that we make with the SEC under Sections 13(a), 13(c), 14 or 15(d) of the Exchange Act (in each case, other than those documents or the portions of those documents furnished (but not filed) pursuant to Items 2.02 or 7.01 of any Current Report on Form 8-K), until the offering of the common stock being registered under this prospectus is terminated or completed:</w:t>
      </w:r>
    </w:p>
    <w:p>
      <w:pPr>
        <w:spacing w:after="0" w:line="73" w:lineRule="exact"/>
        <w:rPr>
          <w:sz w:val="20"/>
          <w:szCs w:val="20"/>
          <w:color w:val="auto"/>
        </w:rPr>
      </w:pPr>
    </w:p>
    <w:p>
      <w:pPr>
        <w:ind w:left="2100" w:hanging="335"/>
        <w:spacing w:after="0"/>
        <w:tabs>
          <w:tab w:leader="none" w:pos="21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20, 2026;</w:t>
      </w:r>
    </w:p>
    <w:p>
      <w:pPr>
        <w:spacing w:after="0" w:line="102" w:lineRule="exact"/>
        <w:rPr>
          <w:rFonts w:ascii="Times New Roman" w:cs="Times New Roman" w:eastAsia="Times New Roman" w:hAnsi="Times New Roman"/>
          <w:sz w:val="14"/>
          <w:szCs w:val="14"/>
          <w:color w:val="auto"/>
        </w:rPr>
      </w:pPr>
    </w:p>
    <w:p>
      <w:pPr>
        <w:ind w:left="2100" w:right="299" w:hanging="335"/>
        <w:spacing w:after="0" w:line="284" w:lineRule="auto"/>
        <w:tabs>
          <w:tab w:leader="none" w:pos="21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w:t>
      </w:r>
      <w:hyperlink r:id="rId55">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 Schedule 14A, filed with the SEC on April 29, 2026, that are incorporated by reference into Part III of our Annual Report on </w:t>
      </w:r>
      <w:hyperlink r:id="rId5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72"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7">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period ended March 31, 2026 filed with the SEC on May 8, 2026;</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58">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June 1, 2026; and</w:t>
      </w:r>
    </w:p>
    <w:p>
      <w:pPr>
        <w:spacing w:after="0" w:line="102" w:lineRule="exact"/>
        <w:rPr>
          <w:rFonts w:ascii="Times New Roman" w:cs="Times New Roman" w:eastAsia="Times New Roman" w:hAnsi="Times New Roman"/>
          <w:sz w:val="14"/>
          <w:szCs w:val="14"/>
          <w:color w:val="auto"/>
        </w:rPr>
      </w:pPr>
    </w:p>
    <w:p>
      <w:pPr>
        <w:ind w:left="2100" w:right="499" w:hanging="335"/>
        <w:spacing w:after="0" w:line="284" w:lineRule="auto"/>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in </w:t>
      </w:r>
      <w:hyperlink r:id="rId59">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w:t>
      </w:r>
      <w:hyperlink r:id="rId6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March 20, 2025, and any other amendment or report filed for the purpose of updating such description.</w:t>
      </w:r>
    </w:p>
    <w:p>
      <w:pPr>
        <w:spacing w:after="0" w:line="125" w:lineRule="exact"/>
        <w:rPr>
          <w:rFonts w:ascii="Times New Roman" w:cs="Times New Roman" w:eastAsia="Times New Roman" w:hAnsi="Times New Roman"/>
          <w:sz w:val="14"/>
          <w:szCs w:val="14"/>
          <w:color w:val="auto"/>
        </w:rPr>
      </w:pPr>
    </w:p>
    <w:p>
      <w:pPr>
        <w:ind w:left="1340" w:right="219"/>
        <w:spacing w:after="0" w:line="268"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is delivered, upon written or oral request of any such person, a copy of any or all of the documents that have been or may be incorporated by reference into this prospectus at no cost. Any such request may be made in writing or by telephoning us at the following address or telephone number:</w:t>
      </w:r>
    </w:p>
    <w:p>
      <w:pPr>
        <w:spacing w:after="0" w:line="13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Aeva Technologies, Inc.</w:t>
      </w:r>
    </w:p>
    <w:p>
      <w:pPr>
        <w:spacing w:after="0" w:line="2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555 Ellis Street</w:t>
      </w:r>
    </w:p>
    <w:p>
      <w:pPr>
        <w:spacing w:after="0" w:line="8"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Mountain View, CA 94043</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(650) 481-7070</w:t>
      </w:r>
    </w:p>
    <w:p>
      <w:pPr>
        <w:spacing w:after="0" w:line="10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PART II. INFORMATION NOT REQUIRED IN PROSPECTUS</w:t>
      </w:r>
    </w:p>
    <w:p>
      <w:pPr>
        <w:spacing w:after="0" w:line="197"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4" w:lineRule="exact"/>
        <w:rPr>
          <w:sz w:val="20"/>
          <w:szCs w:val="20"/>
          <w:color w:val="auto"/>
        </w:rPr>
      </w:pPr>
    </w:p>
    <w:p>
      <w:pPr>
        <w:ind w:left="1340" w:right="519"/>
        <w:spacing w:after="0" w:line="284"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other than underwriting discounts, payable by the Registrant in connection with the offering of the securities being registered.</w:t>
      </w:r>
    </w:p>
    <w:p>
      <w:pPr>
        <w:spacing w:after="0" w:line="131"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3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to be paid</w:t>
            </w:r>
          </w:p>
        </w:tc>
      </w:tr>
      <w:tr>
        <w:trPr>
          <w:trHeight w:val="16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16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66675</wp:posOffset>
            </wp:positionV>
            <wp:extent cx="6026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02615" cy="6985"/>
                    </a:xfrm>
                    <a:prstGeom prst="rect">
                      <a:avLst/>
                    </a:prstGeom>
                    <a:noFill/>
                  </pic:spPr>
                </pic:pic>
              </a:graphicData>
            </a:graphic>
          </wp:anchor>
        </w:drawing>
      </w:r>
    </w:p>
    <w:p>
      <w:pPr>
        <w:spacing w:after="0" w:line="113" w:lineRule="exact"/>
        <w:rPr>
          <w:sz w:val="20"/>
          <w:szCs w:val="20"/>
          <w:color w:val="auto"/>
        </w:rPr>
      </w:pPr>
    </w:p>
    <w:p>
      <w:pPr>
        <w:ind w:left="1680" w:right="319" w:hanging="337"/>
        <w:spacing w:after="0" w:line="262" w:lineRule="auto"/>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the registrant is deferring payment of all applicable registration fees for the securities offered by this registration statement, other than with respect to the registration fees applicable to the offering of up to 3,509,719 of shares of common stock by</w:t>
      </w:r>
    </w:p>
    <w:p>
      <w:pPr>
        <w:ind w:left="1680" w:right="799"/>
        <w:spacing w:after="0" w:line="251" w:lineRule="auto"/>
        <w:rPr>
          <w:sz w:val="20"/>
          <w:szCs w:val="20"/>
          <w:color w:val="auto"/>
        </w:rPr>
      </w:pPr>
      <w:r>
        <w:rPr>
          <w:rFonts w:ascii="Times New Roman" w:cs="Times New Roman" w:eastAsia="Times New Roman" w:hAnsi="Times New Roman"/>
          <w:sz w:val="14"/>
          <w:szCs w:val="14"/>
          <w:color w:val="auto"/>
        </w:rPr>
        <w:t>the selling stockholder named herein. Please see the registration fee table contained in Exhibit 107 to this registration statement for more information</w:t>
      </w:r>
    </w:p>
    <w:p>
      <w:pPr>
        <w:spacing w:after="0" w:line="1" w:lineRule="exact"/>
        <w:rPr>
          <w:sz w:val="20"/>
          <w:szCs w:val="20"/>
          <w:color w:val="auto"/>
        </w:rPr>
      </w:pPr>
    </w:p>
    <w:p>
      <w:pPr>
        <w:ind w:left="1680" w:right="419" w:hanging="337"/>
        <w:spacing w:after="0" w:line="262" w:lineRule="auto"/>
        <w:tabs>
          <w:tab w:leader="none" w:pos="1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provided as applicable by amendment, prospectus supplement or in a filing with the SEC pursuant to the Exchange Act, and incorporated herein by reference</w:t>
      </w:r>
    </w:p>
    <w:p>
      <w:pPr>
        <w:spacing w:after="0" w:line="254"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4" w:lineRule="exact"/>
        <w:rPr>
          <w:sz w:val="20"/>
          <w:szCs w:val="20"/>
          <w:color w:val="auto"/>
        </w:rPr>
      </w:pPr>
    </w:p>
    <w:p>
      <w:pPr>
        <w:ind w:left="1340" w:right="259"/>
        <w:spacing w:after="0" w:line="255" w:lineRule="auto"/>
        <w:rPr>
          <w:sz w:val="20"/>
          <w:szCs w:val="20"/>
          <w:color w:val="auto"/>
        </w:rPr>
      </w:pPr>
      <w:r>
        <w:rPr>
          <w:rFonts w:ascii="Times New Roman" w:cs="Times New Roman" w:eastAsia="Times New Roman" w:hAnsi="Times New Roman"/>
          <w:sz w:val="14"/>
          <w:szCs w:val="14"/>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As permitted by Section 145 of the Delaware General Corporation Law, the Second Amended and Restated Certificate of Incorporation (“Certificate of</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Incorporation”) and amended and restated bylaws of the Registrant provide that:</w:t>
      </w:r>
    </w:p>
    <w:p>
      <w:pPr>
        <w:spacing w:after="0" w:line="88" w:lineRule="exact"/>
        <w:rPr>
          <w:sz w:val="20"/>
          <w:szCs w:val="20"/>
          <w:color w:val="auto"/>
        </w:rPr>
      </w:pPr>
    </w:p>
    <w:p>
      <w:pPr>
        <w:ind w:left="2100" w:right="739" w:hanging="335"/>
        <w:spacing w:after="0" w:line="284" w:lineRule="auto"/>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indemnify its directors and executive officers to the fullest extent permitted by the Delaware General Corporation Law;</w:t>
      </w:r>
    </w:p>
    <w:p>
      <w:pPr>
        <w:spacing w:after="0" w:line="51" w:lineRule="exact"/>
        <w:rPr>
          <w:rFonts w:ascii="Times New Roman" w:cs="Times New Roman" w:eastAsia="Times New Roman" w:hAnsi="Times New Roman"/>
          <w:sz w:val="14"/>
          <w:szCs w:val="14"/>
          <w:color w:val="auto"/>
        </w:rPr>
      </w:pPr>
    </w:p>
    <w:p>
      <w:pPr>
        <w:ind w:left="2100" w:right="319" w:hanging="335"/>
        <w:spacing w:after="0" w:line="284" w:lineRule="auto"/>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in its discretion, indemnify the Registrant’s other officers, employees and agents as set forth in the Delaware General Corporation Law;</w:t>
      </w:r>
    </w:p>
    <w:p>
      <w:pPr>
        <w:spacing w:after="0" w:line="51" w:lineRule="exact"/>
        <w:rPr>
          <w:rFonts w:ascii="Times New Roman" w:cs="Times New Roman" w:eastAsia="Times New Roman" w:hAnsi="Times New Roman"/>
          <w:sz w:val="14"/>
          <w:szCs w:val="14"/>
          <w:color w:val="auto"/>
        </w:rPr>
      </w:pPr>
    </w:p>
    <w:p>
      <w:pPr>
        <w:ind w:left="2100" w:right="339" w:hanging="335"/>
        <w:spacing w:after="0" w:line="284" w:lineRule="auto"/>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upon satisfaction of certain conditions, to advance all expenses incurred by its directors and executive officers in connection with certain legal proceedings;</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the amended and restated bylaws are not exclusive;</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authorized to enter into indemnification agreements with its directors, officers, employees and agents; and</w:t>
      </w:r>
    </w:p>
    <w:p>
      <w:pPr>
        <w:spacing w:after="0" w:line="102" w:lineRule="exact"/>
        <w:rPr>
          <w:rFonts w:ascii="Times New Roman" w:cs="Times New Roman" w:eastAsia="Times New Roman" w:hAnsi="Times New Roman"/>
          <w:sz w:val="14"/>
          <w:szCs w:val="14"/>
          <w:color w:val="auto"/>
        </w:rPr>
      </w:pPr>
    </w:p>
    <w:p>
      <w:pPr>
        <w:ind w:left="2100" w:right="279" w:hanging="335"/>
        <w:spacing w:after="0" w:line="268"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secure insurance on behalf of any director, officer, employee or other agent for any liability arising out of his or her actions in that capacity regardless of whether the Registrant would otherwise be permitted to indemnify him or her under the provisions of Delaware law.</w:t>
      </w:r>
    </w:p>
    <w:p>
      <w:pPr>
        <w:spacing w:after="0" w:line="135" w:lineRule="exact"/>
        <w:rPr>
          <w:sz w:val="20"/>
          <w:szCs w:val="20"/>
          <w:color w:val="auto"/>
        </w:rPr>
      </w:pPr>
    </w:p>
    <w:p>
      <w:pPr>
        <w:ind w:left="1340" w:right="299"/>
        <w:spacing w:after="0" w:line="259" w:lineRule="auto"/>
        <w:rPr>
          <w:sz w:val="20"/>
          <w:szCs w:val="20"/>
          <w:color w:val="auto"/>
        </w:rPr>
      </w:pPr>
      <w:r>
        <w:rPr>
          <w:rFonts w:ascii="Times New Roman" w:cs="Times New Roman" w:eastAsia="Times New Roman" w:hAnsi="Times New Roman"/>
          <w:sz w:val="14"/>
          <w:szCs w:val="14"/>
          <w:color w:val="auto"/>
        </w:rPr>
        <w:t>The Registrant’s policy is to enter into agreements with its directors and executive officers that require the Registrant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to or participant in by reason of the fact that such person is or was a director, officer, employee, agent or fiduciary of the Registrant or any of its affiliates, provided such person acted in good faith and in a manner such person reasonably believed to be in, or not opposed to, the Registrant’s best interests.</w:t>
      </w:r>
    </w:p>
    <w:p>
      <w:pPr>
        <w:spacing w:after="0" w:line="143" w:lineRule="exact"/>
        <w:rPr>
          <w:sz w:val="20"/>
          <w:szCs w:val="20"/>
          <w:color w:val="auto"/>
        </w:rPr>
      </w:pPr>
    </w:p>
    <w:p>
      <w:pPr>
        <w:jc w:val="both"/>
        <w:ind w:left="1340" w:right="279"/>
        <w:spacing w:after="0" w:line="268" w:lineRule="auto"/>
        <w:rPr>
          <w:sz w:val="20"/>
          <w:szCs w:val="20"/>
          <w:color w:val="auto"/>
        </w:rPr>
      </w:pPr>
      <w:r>
        <w:rPr>
          <w:rFonts w:ascii="Times New Roman" w:cs="Times New Roman" w:eastAsia="Times New Roman" w:hAnsi="Times New Roman"/>
          <w:sz w:val="14"/>
          <w:szCs w:val="14"/>
          <w:color w:val="auto"/>
        </w:rPr>
        <w:t>The Registrant also maintains a directors’ and officers’ liability insurance policy. The policy insures directors and officers against unindemnified losses arising from certain wrongful acts in their capacities as directors and officers and reimburses the Registrant for those losses for which the Registrant has lawfully indemnified the directors and officers. The policy contains various exclusions.</w:t>
      </w:r>
    </w:p>
    <w:p>
      <w:pPr>
        <w:spacing w:after="0" w:line="135" w:lineRule="exact"/>
        <w:rPr>
          <w:sz w:val="20"/>
          <w:szCs w:val="20"/>
          <w:color w:val="auto"/>
        </w:rPr>
      </w:pPr>
    </w:p>
    <w:p>
      <w:pPr>
        <w:ind w:left="1340" w:right="579"/>
        <w:spacing w:after="0" w:line="268" w:lineRule="auto"/>
        <w:rPr>
          <w:sz w:val="20"/>
          <w:szCs w:val="20"/>
          <w:color w:val="auto"/>
        </w:rPr>
      </w:pPr>
      <w:r>
        <w:rPr>
          <w:rFonts w:ascii="Times New Roman" w:cs="Times New Roman" w:eastAsia="Times New Roman" w:hAnsi="Times New Roman"/>
          <w:sz w:val="14"/>
          <w:szCs w:val="14"/>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249"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0" w:type="dxa"/>
            <w:vAlign w:val="bottom"/>
          </w:tcPr>
          <w:p>
            <w:pPr>
              <w:spacing w:after="0"/>
              <w:rPr>
                <w:sz w:val="1"/>
                <w:szCs w:val="1"/>
                <w:color w:val="auto"/>
              </w:rPr>
            </w:pPr>
          </w:p>
        </w:tc>
      </w:tr>
      <w:tr>
        <w:trPr>
          <w:trHeight w:val="337"/>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4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7"/>
        </w:trPr>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24"/>
                <w:szCs w:val="24"/>
                <w:color w:val="auto"/>
              </w:rPr>
            </w:pPr>
          </w:p>
        </w:tc>
        <w:tc>
          <w:tcPr>
            <w:tcW w:w="7740" w:type="dxa"/>
            <w:vAlign w:val="bottom"/>
            <w:vMerge w:val="restart"/>
          </w:tcPr>
          <w:p>
            <w:pPr>
              <w:ind w:left="36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Pr>
          <w:p>
            <w:pPr>
              <w:spacing w:after="0"/>
              <w:rPr>
                <w:sz w:val="11"/>
                <w:szCs w:val="11"/>
                <w:color w:val="auto"/>
              </w:rPr>
            </w:pPr>
          </w:p>
        </w:tc>
        <w:tc>
          <w:tcPr>
            <w:tcW w:w="7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0" w:right="419" w:hanging="857"/>
        <w:spacing w:after="0" w:line="284" w:lineRule="auto"/>
        <w:tabs>
          <w:tab w:leader="none" w:pos="1406" w:val="left"/>
        </w:tabs>
        <w:numPr>
          <w:ilvl w:val="0"/>
          <w:numId w:val="3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2.1†</w:t>
      </w:r>
      <w:hyperlink r:id="rId64">
        <w:r>
          <w:rPr>
            <w:rFonts w:ascii="Times New Roman" w:cs="Times New Roman" w:eastAsia="Times New Roman" w:hAnsi="Times New Roman"/>
            <w:sz w:val="14"/>
            <w:szCs w:val="14"/>
            <w:u w:val="single" w:color="auto"/>
            <w:color w:val="0000EE"/>
          </w:rPr>
          <w:t>Business Combination Agreement, dated as of November 2, 2020, by and among InterPrivate Acquisition Corp., WILLY Merger Sub</w:t>
        </w:r>
      </w:hyperlink>
      <w:r>
        <w:rPr>
          <w:rFonts w:ascii="Times New Roman" w:cs="Times New Roman" w:eastAsia="Times New Roman" w:hAnsi="Times New Roman"/>
          <w:sz w:val="14"/>
          <w:szCs w:val="14"/>
          <w:u w:val="single" w:color="auto"/>
          <w:color w:val="0000EE"/>
        </w:rPr>
        <w:t xml:space="preserve"> </w:t>
      </w:r>
      <w:hyperlink r:id="rId64">
        <w:r>
          <w:rPr>
            <w:rFonts w:ascii="Times New Roman" w:cs="Times New Roman" w:eastAsia="Times New Roman" w:hAnsi="Times New Roman"/>
            <w:sz w:val="14"/>
            <w:szCs w:val="14"/>
            <w:u w:val="single" w:color="auto"/>
            <w:color w:val="0000EE"/>
          </w:rPr>
          <w:t>Corp., and Aeva, Inc. (incorporated by reference to Annex A to the Proxy Statement/Prospectus/Consent Solicitation Statement).</w:t>
        </w:r>
      </w:hyperlink>
    </w:p>
    <w:p>
      <w:pPr>
        <w:spacing w:after="0" w:line="31" w:lineRule="exact"/>
        <w:rPr>
          <w:rFonts w:ascii="Times New Roman" w:cs="Times New Roman" w:eastAsia="Times New Roman" w:hAnsi="Times New Roman"/>
          <w:sz w:val="14"/>
          <w:szCs w:val="14"/>
          <w:color w:val="auto"/>
        </w:rPr>
      </w:pPr>
    </w:p>
    <w:tbl>
      <w:tblPr>
        <w:tblLayout w:type="fixed"/>
        <w:tblInd w:w="134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7740" w:type="dxa"/>
            <w:vAlign w:val="bottom"/>
            <w:gridSpan w:val="9"/>
          </w:tcPr>
          <w:p>
            <w:pPr>
              <w:spacing w:after="0"/>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Second Amended and Restated Certificate of Incorporation of Aeva Technologies, Inc. (incorporated by reference to Exhibit 3.1 to the</w:t>
              </w:r>
            </w:hyperlink>
          </w:p>
        </w:tc>
      </w:tr>
      <w:tr>
        <w:trPr>
          <w:trHeight w:val="149"/>
        </w:trPr>
        <w:tc>
          <w:tcPr>
            <w:tcW w:w="860" w:type="dxa"/>
            <w:vAlign w:val="bottom"/>
          </w:tcPr>
          <w:p>
            <w:pPr>
              <w:spacing w:after="0"/>
              <w:rPr>
                <w:sz w:val="12"/>
                <w:szCs w:val="12"/>
                <w:color w:val="auto"/>
              </w:rPr>
            </w:pPr>
          </w:p>
        </w:tc>
        <w:tc>
          <w:tcPr>
            <w:tcW w:w="4100" w:type="dxa"/>
            <w:vAlign w:val="bottom"/>
            <w:tcBorders>
              <w:top w:val="single" w:sz="8" w:color="0000EE"/>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Current Report on Form 8-K filed by the Registrant on March 18, 2021).</w:t>
              </w:r>
            </w:hyperlink>
          </w:p>
        </w:tc>
        <w:tc>
          <w:tcPr>
            <w:tcW w:w="3460" w:type="dxa"/>
            <w:vAlign w:val="bottom"/>
            <w:tcBorders>
              <w:top w:val="single" w:sz="8" w:color="0000EE"/>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r>
      <w:tr>
        <w:trPr>
          <w:trHeight w:val="23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7740" w:type="dxa"/>
            <w:vAlign w:val="bottom"/>
            <w:gridSpan w:val="9"/>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Certificate of Amendment to Amended and Restated Certificate of Incorporation of Aeva Technologies, Inc. (incorporated by reference</w:t>
              </w:r>
            </w:hyperlink>
          </w:p>
        </w:tc>
      </w:tr>
      <w:tr>
        <w:trPr>
          <w:trHeight w:val="149"/>
        </w:trPr>
        <w:tc>
          <w:tcPr>
            <w:tcW w:w="860" w:type="dxa"/>
            <w:vAlign w:val="bottom"/>
          </w:tcPr>
          <w:p>
            <w:pPr>
              <w:spacing w:after="0"/>
              <w:rPr>
                <w:sz w:val="12"/>
                <w:szCs w:val="12"/>
                <w:color w:val="auto"/>
              </w:rPr>
            </w:pPr>
          </w:p>
        </w:tc>
        <w:tc>
          <w:tcPr>
            <w:tcW w:w="5260" w:type="dxa"/>
            <w:vAlign w:val="bottom"/>
            <w:tcBorders>
              <w:top w:val="single" w:sz="8" w:color="0000EE"/>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to Exhibit 3.1 to the Current Report on Form 8-K filed by the Registrant on March 18, 2024).</w:t>
              </w:r>
            </w:hyperlink>
          </w:p>
        </w:tc>
        <w:tc>
          <w:tcPr>
            <w:tcW w:w="2360" w:type="dxa"/>
            <w:vAlign w:val="bottom"/>
            <w:tcBorders>
              <w:top w:val="single" w:sz="8" w:color="0000EE"/>
            </w:tcBorders>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23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774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Amended and Restated By-laws of Aeva Technologies, Inc. (incorporated by reference to Exhibit 3.2 to the Current Report on Form 8-K</w:t>
              </w:r>
            </w:hyperlink>
          </w:p>
        </w:tc>
      </w:tr>
      <w:tr>
        <w:trPr>
          <w:trHeight w:val="149"/>
        </w:trPr>
        <w:tc>
          <w:tcPr>
            <w:tcW w:w="860" w:type="dxa"/>
            <w:vAlign w:val="bottom"/>
          </w:tcPr>
          <w:p>
            <w:pPr>
              <w:spacing w:after="0"/>
              <w:rPr>
                <w:sz w:val="12"/>
                <w:szCs w:val="12"/>
                <w:color w:val="auto"/>
              </w:rPr>
            </w:pPr>
          </w:p>
        </w:tc>
        <w:tc>
          <w:tcPr>
            <w:tcW w:w="7740" w:type="dxa"/>
            <w:vAlign w:val="bottom"/>
            <w:gridSpan w:val="9"/>
          </w:tcPr>
          <w:p>
            <w:pPr>
              <w:spacing w:after="0" w:line="149"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filed by the Registrant on March 18, 2021).</w:t>
              </w:r>
            </w:hyperlink>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7740" w:type="dxa"/>
            <w:vAlign w:val="bottom"/>
            <w:gridSpan w:val="9"/>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Specimen Common Stock Certificate (incorporated by reference to Exhibit 4.2 to the Registration Statement on Form S-1 filed by the</w:t>
              </w:r>
            </w:hyperlink>
          </w:p>
        </w:tc>
      </w:tr>
      <w:tr>
        <w:trPr>
          <w:trHeight w:val="149"/>
        </w:trPr>
        <w:tc>
          <w:tcPr>
            <w:tcW w:w="860" w:type="dxa"/>
            <w:vAlign w:val="bottom"/>
          </w:tcPr>
          <w:p>
            <w:pPr>
              <w:spacing w:after="0"/>
              <w:rPr>
                <w:sz w:val="12"/>
                <w:szCs w:val="12"/>
                <w:color w:val="auto"/>
              </w:rPr>
            </w:pPr>
          </w:p>
        </w:tc>
        <w:tc>
          <w:tcPr>
            <w:tcW w:w="7520" w:type="dxa"/>
            <w:vAlign w:val="bottom"/>
            <w:tcBorders>
              <w:top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Registrant on January 24, 2020).</w:t>
              </w:r>
            </w:hyperlink>
          </w:p>
        </w:tc>
        <w:tc>
          <w:tcPr>
            <w:tcW w:w="220" w:type="dxa"/>
            <w:vAlign w:val="bottom"/>
            <w:gridSpan w:val="3"/>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7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Certificate of designation, preferences and rights with respect to any preferred stock issued hereunder.</w:t>
            </w:r>
          </w:p>
        </w:tc>
      </w:tr>
      <w:tr>
        <w:trPr>
          <w:trHeight w:val="222"/>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774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Form of Indenture with respect to Debt Securities.</w:t>
            </w:r>
          </w:p>
        </w:tc>
      </w:tr>
      <w:tr>
        <w:trPr>
          <w:trHeight w:val="296"/>
        </w:trPr>
        <w:tc>
          <w:tcPr>
            <w:tcW w:w="860" w:type="dxa"/>
            <w:vAlign w:val="bottom"/>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90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II-2</w:t>
            </w:r>
          </w:p>
        </w:tc>
      </w:tr>
    </w:tbl>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640" w:type="dxa"/>
            <w:vAlign w:val="bottom"/>
            <w:gridSpan w:val="5"/>
            <w:vMerge w:val="restart"/>
          </w:tcPr>
          <w:p>
            <w:pPr>
              <w:ind w:left="35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00" w:type="dxa"/>
            <w:vAlign w:val="bottom"/>
          </w:tcPr>
          <w:p>
            <w:pPr>
              <w:spacing w:after="0"/>
              <w:rPr>
                <w:sz w:val="11"/>
                <w:szCs w:val="11"/>
                <w:color w:val="auto"/>
              </w:rPr>
            </w:pPr>
          </w:p>
        </w:tc>
        <w:tc>
          <w:tcPr>
            <w:tcW w:w="764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4.7*</w:t>
            </w:r>
          </w:p>
        </w:tc>
        <w:tc>
          <w:tcPr>
            <w:tcW w:w="7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Form of Debt Security.</w:t>
            </w:r>
          </w:p>
        </w:tc>
        <w:tc>
          <w:tcPr>
            <w:tcW w:w="0" w:type="dxa"/>
            <w:vAlign w:val="bottom"/>
          </w:tcPr>
          <w:p>
            <w:pPr>
              <w:spacing w:after="0"/>
              <w:rPr>
                <w:sz w:val="1"/>
                <w:szCs w:val="1"/>
                <w:color w:val="auto"/>
              </w:rPr>
            </w:pPr>
          </w:p>
        </w:tc>
      </w:tr>
      <w:tr>
        <w:trPr>
          <w:trHeight w:val="25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4.8*</w:t>
            </w:r>
          </w:p>
        </w:tc>
        <w:tc>
          <w:tcPr>
            <w:tcW w:w="7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Form of Warrant Agreement (Stock) (including form of Warrant Certificate).</w:t>
            </w:r>
          </w:p>
        </w:tc>
        <w:tc>
          <w:tcPr>
            <w:tcW w:w="0" w:type="dxa"/>
            <w:vAlign w:val="bottom"/>
          </w:tcPr>
          <w:p>
            <w:pPr>
              <w:spacing w:after="0"/>
              <w:rPr>
                <w:sz w:val="1"/>
                <w:szCs w:val="1"/>
                <w:color w:val="auto"/>
              </w:rPr>
            </w:pPr>
          </w:p>
        </w:tc>
      </w:tr>
      <w:tr>
        <w:trPr>
          <w:trHeight w:val="25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4.9*</w:t>
            </w:r>
          </w:p>
        </w:tc>
        <w:tc>
          <w:tcPr>
            <w:tcW w:w="7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Form of Warrant Agreement (Debt) (including form of Warrant Certificate).</w:t>
            </w: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764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Opinion of Gunderson Dettmer Stough Villeneuve Franklin &amp; Hachigian, LLP.</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23.1</w:t>
            </w:r>
          </w:p>
        </w:tc>
        <w:tc>
          <w:tcPr>
            <w:tcW w:w="58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9"/>
              </w:rPr>
              <w:t>Consent of Deloitte &amp; Touche LLP, independent registered accounting firm for Aeva Technologies, Inc.</w:t>
            </w:r>
          </w:p>
        </w:tc>
        <w:tc>
          <w:tcPr>
            <w:tcW w:w="1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23.2</w:t>
            </w:r>
          </w:p>
        </w:tc>
        <w:tc>
          <w:tcPr>
            <w:tcW w:w="5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Consent of Gunderson Dettmer Stough Villeneuve Franklin &amp; Hachigian, LLP (included in Exhibit 5.1).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24.1</w:t>
            </w:r>
          </w:p>
        </w:tc>
        <w:tc>
          <w:tcPr>
            <w:tcW w:w="4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of this Registration Statement).</w:t>
            </w:r>
          </w:p>
        </w:tc>
        <w:tc>
          <w:tcPr>
            <w:tcW w:w="30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25.1**</w:t>
            </w:r>
          </w:p>
        </w:tc>
        <w:tc>
          <w:tcPr>
            <w:tcW w:w="7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Statement of Eligibility on Form T-1 under the Trust Indenture Act of 1939, as amended, of the Trustee under the Indenture.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300" w:hanging="957"/>
        <w:spacing w:after="0"/>
        <w:tabs>
          <w:tab w:leader="none" w:pos="2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97" w:lineRule="exact"/>
        <w:rPr>
          <w:sz w:val="20"/>
          <w:szCs w:val="20"/>
          <w:color w:val="auto"/>
        </w:rPr>
      </w:pPr>
    </w:p>
    <w:p>
      <w:pPr>
        <w:ind w:left="1680" w:right="799" w:hanging="337"/>
        <w:spacing w:after="0" w:line="262" w:lineRule="auto"/>
        <w:tabs>
          <w:tab w:leader="none" w:pos="16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as an exhibit to a report on Form 8-K under the Exchange Act or by other applicable filing with the SEC, and incorporated herein by reference.</w:t>
      </w:r>
    </w:p>
    <w:p>
      <w:pPr>
        <w:ind w:left="1680" w:hanging="337"/>
        <w:spacing w:after="0"/>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pursuant to Section 305(b)(2) of the Trust Indenture Act of 1939, as amended.</w:t>
      </w:r>
    </w:p>
    <w:p>
      <w:pPr>
        <w:spacing w:after="0" w:line="8" w:lineRule="exact"/>
        <w:rPr>
          <w:sz w:val="20"/>
          <w:szCs w:val="20"/>
          <w:color w:val="auto"/>
        </w:rPr>
      </w:pPr>
    </w:p>
    <w:p>
      <w:pPr>
        <w:ind w:left="1680" w:right="279" w:hanging="337"/>
        <w:spacing w:after="0" w:line="262" w:lineRule="auto"/>
        <w:tabs>
          <w:tab w:leader="none" w:pos="16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Exhibit omitted pursuant to Regulation S-K Item 601(b)(2). The Registrant agrees to furnish supplementally a copy of any omitted schedule or exhibit to the SEC upon request.</w:t>
      </w:r>
    </w:p>
    <w:p>
      <w:pPr>
        <w:spacing w:after="0" w:line="254"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6" w:lineRule="exact"/>
        <w:rPr>
          <w:sz w:val="20"/>
          <w:szCs w:val="20"/>
          <w:color w:val="auto"/>
        </w:rPr>
      </w:pPr>
    </w:p>
    <w:p>
      <w:pPr>
        <w:ind w:left="1540" w:hanging="197"/>
        <w:spacing w:after="0"/>
        <w:tabs>
          <w:tab w:leader="none" w:pos="1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2" w:lineRule="exact"/>
        <w:rPr>
          <w:rFonts w:ascii="Times New Roman" w:cs="Times New Roman" w:eastAsia="Times New Roman" w:hAnsi="Times New Roman"/>
          <w:sz w:val="14"/>
          <w:szCs w:val="14"/>
          <w:color w:val="auto"/>
        </w:rPr>
      </w:pPr>
    </w:p>
    <w:p>
      <w:pPr>
        <w:ind w:left="1860" w:hanging="173"/>
        <w:spacing w:after="0"/>
        <w:tabs>
          <w:tab w:leader="none" w:pos="18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92" w:lineRule="exact"/>
        <w:rPr>
          <w:rFonts w:ascii="Times New Roman" w:cs="Times New Roman" w:eastAsia="Times New Roman" w:hAnsi="Times New Roman"/>
          <w:sz w:val="14"/>
          <w:szCs w:val="14"/>
          <w:color w:val="auto"/>
        </w:rPr>
      </w:pPr>
    </w:p>
    <w:p>
      <w:pPr>
        <w:ind w:left="1680" w:right="439" w:firstLine="7"/>
        <w:spacing w:after="0" w:line="268" w:lineRule="auto"/>
        <w:tabs>
          <w:tab w:leader="none" w:pos="1887"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51" w:lineRule="exact"/>
        <w:rPr>
          <w:sz w:val="20"/>
          <w:szCs w:val="20"/>
          <w:color w:val="auto"/>
        </w:rPr>
      </w:pPr>
    </w:p>
    <w:p>
      <w:pPr>
        <w:ind w:left="1680" w:right="399"/>
        <w:spacing w:after="0" w:line="259" w:lineRule="auto"/>
        <w:rPr>
          <w:sz w:val="20"/>
          <w:szCs w:val="20"/>
          <w:color w:val="auto"/>
        </w:rPr>
      </w:pPr>
      <w:r>
        <w:rPr>
          <w:rFonts w:ascii="Times New Roman" w:cs="Times New Roman" w:eastAsia="Times New Roman" w:hAnsi="Times New Roman"/>
          <w:sz w:val="14"/>
          <w:szCs w:val="14"/>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9" w:lineRule="exact"/>
        <w:rPr>
          <w:sz w:val="20"/>
          <w:szCs w:val="20"/>
          <w:color w:val="auto"/>
        </w:rPr>
      </w:pPr>
    </w:p>
    <w:p>
      <w:pPr>
        <w:ind w:left="1680" w:right="639" w:firstLine="7"/>
        <w:spacing w:after="0" w:line="284" w:lineRule="auto"/>
        <w:tabs>
          <w:tab w:leader="none" w:pos="192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39" w:lineRule="exact"/>
        <w:rPr>
          <w:sz w:val="20"/>
          <w:szCs w:val="20"/>
          <w:color w:val="auto"/>
        </w:rPr>
      </w:pPr>
    </w:p>
    <w:p>
      <w:pPr>
        <w:ind w:left="1680" w:right="279"/>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(1)(i), (1)(ii) and (1)(iii) do not apply if the information required to be included in a post-effective amendment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those paragraphs is contained in reports filed with or furnished to the Commission by the Registrant pursuant to Section 13 or Section 15(d) of the Securities Exchange Act of 1934 , as amended (the “Exchange Act”) that are incorporated by reference in the registration statement, or is contained in a form of prospectus filed pursuant to Rule 424(b) that is part of the registration statement</w:t>
      </w:r>
      <w:r>
        <w:rPr>
          <w:rFonts w:ascii="Times New Roman" w:cs="Times New Roman" w:eastAsia="Times New Roman" w:hAnsi="Times New Roman"/>
          <w:sz w:val="14"/>
          <w:szCs w:val="14"/>
          <w:i w:val="1"/>
          <w:iCs w:val="1"/>
          <w:color w:val="auto"/>
        </w:rPr>
        <w: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39" w:firstLine="3"/>
        <w:spacing w:after="0" w:line="268" w:lineRule="auto"/>
        <w:tabs>
          <w:tab w:leader="none" w:pos="153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1340" w:right="259" w:firstLine="3"/>
        <w:spacing w:after="0" w:line="284" w:lineRule="auto"/>
        <w:tabs>
          <w:tab w:leader="none" w:pos="153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4" w:lineRule="exact"/>
        <w:rPr>
          <w:rFonts w:ascii="Times New Roman" w:cs="Times New Roman" w:eastAsia="Times New Roman" w:hAnsi="Times New Roman"/>
          <w:sz w:val="14"/>
          <w:szCs w:val="14"/>
          <w:color w:val="auto"/>
        </w:rPr>
      </w:pPr>
    </w:p>
    <w:p>
      <w:pPr>
        <w:ind w:left="1540" w:hanging="197"/>
        <w:spacing w:after="0"/>
        <w:tabs>
          <w:tab w:leader="none" w:pos="1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2" w:lineRule="exact"/>
        <w:rPr>
          <w:rFonts w:ascii="Times New Roman" w:cs="Times New Roman" w:eastAsia="Times New Roman" w:hAnsi="Times New Roman"/>
          <w:sz w:val="14"/>
          <w:szCs w:val="14"/>
          <w:color w:val="auto"/>
        </w:rPr>
      </w:pPr>
    </w:p>
    <w:p>
      <w:pPr>
        <w:ind w:left="1680" w:right="479" w:firstLine="7"/>
        <w:spacing w:after="0" w:line="284" w:lineRule="auto"/>
        <w:tabs>
          <w:tab w:leader="none" w:pos="184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0" w:lineRule="exact"/>
        <w:rPr>
          <w:rFonts w:ascii="Times New Roman" w:cs="Times New Roman" w:eastAsia="Times New Roman" w:hAnsi="Times New Roman"/>
          <w:sz w:val="14"/>
          <w:szCs w:val="14"/>
          <w:color w:val="auto"/>
        </w:rPr>
      </w:pPr>
    </w:p>
    <w:p>
      <w:pPr>
        <w:ind w:left="1680" w:right="239" w:firstLine="7"/>
        <w:spacing w:after="0" w:line="254" w:lineRule="auto"/>
        <w:tabs>
          <w:tab w:leader="none" w:pos="1887"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9" w:lineRule="exact"/>
        <w:rPr>
          <w:rFonts w:ascii="Times New Roman" w:cs="Times New Roman" w:eastAsia="Times New Roman" w:hAnsi="Times New Roman"/>
          <w:sz w:val="14"/>
          <w:szCs w:val="14"/>
          <w:color w:val="auto"/>
        </w:rPr>
      </w:pPr>
    </w:p>
    <w:p>
      <w:pPr>
        <w:ind w:left="1340" w:right="219" w:firstLine="3"/>
        <w:spacing w:after="0" w:line="259" w:lineRule="auto"/>
        <w:tabs>
          <w:tab w:leader="none" w:pos="153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8" w:lineRule="exact"/>
        <w:rPr>
          <w:rFonts w:ascii="Times New Roman" w:cs="Times New Roman" w:eastAsia="Times New Roman" w:hAnsi="Times New Roman"/>
          <w:sz w:val="14"/>
          <w:szCs w:val="14"/>
          <w:color w:val="auto"/>
        </w:rPr>
      </w:pPr>
    </w:p>
    <w:p>
      <w:pPr>
        <w:ind w:left="1860" w:hanging="173"/>
        <w:spacing w:after="0"/>
        <w:tabs>
          <w:tab w:leader="none" w:pos="18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92" w:lineRule="exact"/>
        <w:rPr>
          <w:rFonts w:ascii="Times New Roman" w:cs="Times New Roman" w:eastAsia="Times New Roman" w:hAnsi="Times New Roman"/>
          <w:sz w:val="14"/>
          <w:szCs w:val="14"/>
          <w:color w:val="auto"/>
        </w:rPr>
      </w:pPr>
    </w:p>
    <w:p>
      <w:pPr>
        <w:ind w:left="1680" w:right="679" w:firstLine="7"/>
        <w:spacing w:after="0" w:line="284" w:lineRule="auto"/>
        <w:tabs>
          <w:tab w:leader="none" w:pos="1887"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0" w:lineRule="exact"/>
        <w:rPr>
          <w:rFonts w:ascii="Times New Roman" w:cs="Times New Roman" w:eastAsia="Times New Roman" w:hAnsi="Times New Roman"/>
          <w:sz w:val="14"/>
          <w:szCs w:val="14"/>
          <w:color w:val="auto"/>
        </w:rPr>
      </w:pPr>
    </w:p>
    <w:p>
      <w:pPr>
        <w:ind w:left="1680" w:right="239" w:firstLine="7"/>
        <w:spacing w:after="0" w:line="284" w:lineRule="auto"/>
        <w:tabs>
          <w:tab w:leader="none" w:pos="192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0" w:lineRule="exact"/>
        <w:rPr>
          <w:rFonts w:ascii="Times New Roman" w:cs="Times New Roman" w:eastAsia="Times New Roman" w:hAnsi="Times New Roman"/>
          <w:sz w:val="14"/>
          <w:szCs w:val="14"/>
          <w:color w:val="auto"/>
        </w:rPr>
      </w:pPr>
    </w:p>
    <w:p>
      <w:pPr>
        <w:ind w:left="1920" w:hanging="233"/>
        <w:spacing w:after="0"/>
        <w:tabs>
          <w:tab w:leader="none" w:pos="19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6" w:lineRule="exact"/>
        <w:rPr>
          <w:rFonts w:ascii="Times New Roman" w:cs="Times New Roman" w:eastAsia="Times New Roman" w:hAnsi="Times New Roman"/>
          <w:sz w:val="14"/>
          <w:szCs w:val="14"/>
          <w:color w:val="auto"/>
        </w:rPr>
      </w:pPr>
    </w:p>
    <w:p>
      <w:pPr>
        <w:ind w:left="1340" w:right="219" w:firstLine="3"/>
        <w:spacing w:after="0" w:line="262" w:lineRule="auto"/>
        <w:tabs>
          <w:tab w:leader="none" w:pos="153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Times New Roman" w:cs="Times New Roman" w:eastAsia="Times New Roman" w:hAnsi="Times New Roman"/>
          <w:sz w:val="14"/>
          <w:szCs w:val="14"/>
          <w:color w:val="auto"/>
        </w:rPr>
      </w:pPr>
    </w:p>
    <w:p>
      <w:pPr>
        <w:ind w:left="1340" w:right="679" w:firstLine="3"/>
        <w:spacing w:after="0" w:line="284" w:lineRule="auto"/>
        <w:tabs>
          <w:tab w:leader="none" w:pos="153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19"/>
        <w:spacing w:after="0" w:line="258" w:lineRule="auto"/>
        <w:rPr>
          <w:sz w:val="20"/>
          <w:szCs w:val="20"/>
          <w:color w:val="auto"/>
        </w:rPr>
      </w:pPr>
      <w:r>
        <w:rPr>
          <w:rFonts w:ascii="Times New Roman" w:cs="Times New Roman" w:eastAsia="Times New Roman" w:hAnsi="Times New Roman"/>
          <w:sz w:val="14"/>
          <w:szCs w:val="14"/>
          <w:color w:val="auto"/>
        </w:rPr>
        <w:t>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42" w:lineRule="exact"/>
        <w:rPr>
          <w:sz w:val="20"/>
          <w:szCs w:val="20"/>
          <w:color w:val="auto"/>
        </w:rPr>
      </w:pPr>
    </w:p>
    <w:p>
      <w:pPr>
        <w:ind w:left="1340" w:right="239" w:firstLine="3"/>
        <w:spacing w:after="0" w:line="284" w:lineRule="auto"/>
        <w:tabs>
          <w:tab w:leader="none" w:pos="153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ind w:left="1340" w:right="359"/>
        <w:spacing w:after="0" w:line="268"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Mountain View, California, on June 3, 2026.</w:t>
      </w:r>
    </w:p>
    <w:p>
      <w:pPr>
        <w:spacing w:after="0" w:line="15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AEVA TECHNOLOGIES, INC.</w:t>
      </w:r>
    </w:p>
    <w:p>
      <w:pPr>
        <w:spacing w:after="0" w:line="17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Soroush Salehian Dardashti</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  Name: Soroush Salehian Dardashti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-101600</wp:posOffset>
            </wp:positionV>
            <wp:extent cx="21824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2182495" cy="6985"/>
                    </a:xfrm>
                    <a:prstGeom prst="rect">
                      <a:avLst/>
                    </a:prstGeom>
                    <a:noFill/>
                  </pic:spPr>
                </pic:pic>
              </a:graphicData>
            </a:graphic>
          </wp:anchor>
        </w:drawing>
      </w:r>
    </w:p>
    <w:p>
      <w:pPr>
        <w:ind w:left="6500"/>
        <w:spacing w:after="0"/>
        <w:rPr>
          <w:sz w:val="20"/>
          <w:szCs w:val="20"/>
          <w:color w:val="auto"/>
        </w:rPr>
      </w:pPr>
      <w:r>
        <w:rPr>
          <w:rFonts w:ascii="Times New Roman" w:cs="Times New Roman" w:eastAsia="Times New Roman" w:hAnsi="Times New Roman"/>
          <w:sz w:val="14"/>
          <w:szCs w:val="14"/>
          <w:color w:val="auto"/>
        </w:rPr>
        <w:t>  Title: Chief Executive Officer and Director</w:t>
      </w:r>
    </w:p>
    <w:p>
      <w:pPr>
        <w:spacing w:after="0" w:line="162" w:lineRule="exact"/>
        <w:rPr>
          <w:sz w:val="20"/>
          <w:szCs w:val="20"/>
          <w:color w:val="auto"/>
        </w:rPr>
      </w:pPr>
    </w:p>
    <w:p>
      <w:pPr>
        <w:ind w:left="1340" w:right="259"/>
        <w:spacing w:after="0" w:line="255" w:lineRule="auto"/>
        <w:rPr>
          <w:sz w:val="20"/>
          <w:szCs w:val="20"/>
          <w:color w:val="auto"/>
        </w:rPr>
      </w:pPr>
      <w:r>
        <w:rPr>
          <w:rFonts w:ascii="Times New Roman" w:cs="Times New Roman" w:eastAsia="Times New Roman" w:hAnsi="Times New Roman"/>
          <w:sz w:val="14"/>
          <w:szCs w:val="14"/>
          <w:color w:val="auto"/>
        </w:rPr>
        <w:t>KNOW ALL PERSONS BY THESE PRESENTS, that each of the undersigned directors or officers of Aeva Technologies, Inc. a Delaware corporation (the “Company”), hereby constitutes and appoints Soroush Salehian Dardashti and Saurabh Sinha, and each of them, as his or her true and lawful attorney-in-fact, with full power of substitution and resubstitution, for him or her and in his or her name, place and stead, in any and all capacities, to execute a Registration Statement on Form S-3 of the Company, and any and all amendments (including post-effective amendments) to such Registration Statement and any Registration Statement relating to any offering made pursuant to this Registration Statement, and to file such Registration Statement(s) and any and all amendments thereto, with all exhibits thereto, and other documents in connection therewith, with the Securities and Exchange Commission, granting unto said attorney-in-fact full power and authority to do and perform each and every act and thing necessary or desirable to be done in and about the premises, as fully to all intents and purposes, as he or she might or could do in person, hereby ratifying and confirming all that said attorney-in-fact or his substitute or substitutes may lawfully do or cause to be done by virtue hereof.</w:t>
      </w:r>
    </w:p>
    <w:p>
      <w:pPr>
        <w:spacing w:after="0" w:line="147" w:lineRule="exact"/>
        <w:rPr>
          <w:sz w:val="20"/>
          <w:szCs w:val="20"/>
          <w:color w:val="auto"/>
        </w:rPr>
      </w:pPr>
    </w:p>
    <w:p>
      <w:pPr>
        <w:ind w:left="1340" w:right="599"/>
        <w:spacing w:after="0" w:line="28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1340" w:type="dxa"/>
        <w:tblCellMar>
          <w:top w:w="0" w:type="dxa"/>
          <w:left w:w="0" w:type="dxa"/>
          <w:bottom w:w="0" w:type="dxa"/>
          <w:right w:w="0" w:type="dxa"/>
        </w:tblCellMar>
      </w:tblPr>
      <w:tr>
        <w:trPr>
          <w:trHeight w:val="146"/>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7"/>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Soroush Salehian Dardashti</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Soroush Salehian Dardashti</w:t>
            </w:r>
          </w:p>
        </w:tc>
        <w:tc>
          <w:tcPr>
            <w:tcW w:w="8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Saurabh Sinha</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(Principal Financial Officer and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Saurabh Sinha</w:t>
            </w:r>
          </w:p>
        </w:tc>
        <w:tc>
          <w:tcPr>
            <w:tcW w:w="8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Mina Rezk</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Chief Technology Officer and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Mina Rezk</w:t>
            </w:r>
          </w:p>
        </w:tc>
        <w:tc>
          <w:tcPr>
            <w:tcW w:w="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Daniel Gibson</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Gibson</w:t>
            </w:r>
          </w:p>
        </w:tc>
        <w:tc>
          <w:tcPr>
            <w:tcW w:w="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Katherine Motlagh</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Katherine Motlagh</w:t>
            </w:r>
          </w:p>
        </w:tc>
        <w:tc>
          <w:tcPr>
            <w:tcW w:w="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Hrach Simonian</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Hrach Simonian</w:t>
            </w:r>
          </w:p>
        </w:tc>
        <w:tc>
          <w:tcPr>
            <w:tcW w:w="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Stefan Sommer</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Stefan Sommer</w:t>
            </w:r>
          </w:p>
        </w:tc>
        <w:tc>
          <w:tcPr>
            <w:tcW w:w="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3"/>
        </w:trPr>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Zadesky</w:t>
            </w:r>
          </w:p>
        </w:tc>
        <w:tc>
          <w:tcPr>
            <w:tcW w:w="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4"/>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Stephen Zadesky</w:t>
            </w:r>
          </w:p>
        </w:tc>
        <w:tc>
          <w:tcPr>
            <w:tcW w:w="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80"/>
        </w:trPr>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II-6</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41" w:name="page42"/>
    <w:bookmarkEnd w:id="4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142875</wp:posOffset>
            </wp:positionV>
            <wp:extent cx="546227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AEVA TECHNOLOGIES,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as Trustee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Dated as of [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147955</wp:posOffset>
            </wp:positionV>
            <wp:extent cx="54622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CROSS REFERENCE SHEET*</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5800" w:type="dxa"/>
            <w:vAlign w:val="bottom"/>
          </w:tcPr>
          <w:p>
            <w:pPr>
              <w:jc w:val="right"/>
              <w:ind w:right="3990"/>
              <w:spacing w:after="0"/>
              <w:rPr>
                <w:sz w:val="20"/>
                <w:szCs w:val="20"/>
                <w:color w:val="auto"/>
              </w:rPr>
            </w:pPr>
            <w:r>
              <w:rPr>
                <w:rFonts w:ascii="Times New Roman" w:cs="Times New Roman" w:eastAsia="Times New Roman" w:hAnsi="Times New Roman"/>
                <w:sz w:val="14"/>
                <w:szCs w:val="14"/>
                <w:color w:val="auto"/>
              </w:rPr>
              <w:t>Between</w:t>
            </w:r>
          </w:p>
        </w:tc>
      </w:tr>
      <w:tr>
        <w:trPr>
          <w:trHeight w:val="323"/>
        </w:trPr>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Provisions of Trust Indenture Act (as defined herein) and Indenture, dated as of [___________], between AEVA TECHNOLOGIES, INC. and</w:t>
            </w:r>
          </w:p>
        </w:tc>
      </w:tr>
      <w:tr>
        <w:trPr>
          <w:trHeight w:val="183"/>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 as Trustee:</w:t>
            </w:r>
          </w:p>
        </w:tc>
        <w:tc>
          <w:tcPr>
            <w:tcW w:w="5800" w:type="dxa"/>
            <w:vAlign w:val="bottom"/>
          </w:tcPr>
          <w:p>
            <w:pPr>
              <w:spacing w:after="0"/>
              <w:rPr>
                <w:sz w:val="15"/>
                <w:szCs w:val="15"/>
                <w:color w:val="auto"/>
              </w:rPr>
            </w:pPr>
          </w:p>
        </w:tc>
      </w:tr>
      <w:tr>
        <w:trPr>
          <w:trHeight w:val="344"/>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SECTION OF THE ACT</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 OF INDENTURE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310(a)(1) and (2)</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310(a)(3) and (4)</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and 6.10(a), (b) and (d)</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and 4.2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313(b)(1)</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313(b)(2)</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5.11, 6.10, 6.11, 8.2 and 12.2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and 4.2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314(c)(1) and (2)</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314(c)(3)</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315(a), (c) and (d)</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316(a)(1)</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and 5.10</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316(a)(2)</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 required</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316(a) (last sentence)</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3.4(a) and (b)</w:t>
            </w:r>
          </w:p>
        </w:tc>
      </w:tr>
      <w:tr>
        <w:trPr>
          <w:trHeight w:val="183"/>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bl>
    <w:p>
      <w:pPr>
        <w:spacing w:after="0" w:line="175" w:lineRule="exact"/>
        <w:rPr>
          <w:sz w:val="20"/>
          <w:szCs w:val="20"/>
          <w:color w:val="auto"/>
        </w:rPr>
      </w:pPr>
    </w:p>
    <w:p>
      <w:pPr>
        <w:ind w:left="540" w:hanging="337"/>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Cross Reference Sheet is not part of the Indenture.</w:t>
      </w:r>
    </w:p>
    <w:p>
      <w:pPr>
        <w:sectPr>
          <w:pgSz w:w="11900" w:h="16838" w:orient="portrait"/>
          <w:cols w:equalWidth="0" w:num="1">
            <w:col w:w="9019"/>
          </w:cols>
          <w:pgMar w:left="1440" w:top="239" w:right="1440" w:bottom="1440" w:gutter="0" w:footer="0" w:header="0"/>
        </w:sectPr>
      </w:pPr>
    </w:p>
    <w:bookmarkStart w:id="43" w:name="page44"/>
    <w:bookmarkEnd w:id="43"/>
    <w:tbl>
      <w:tblPr>
        <w:tblLayout w:type="fixed"/>
        <w:tblInd w:w="200" w:type="dxa"/>
        <w:tblCellMar>
          <w:top w:w="0" w:type="dxa"/>
          <w:left w:w="0" w:type="dxa"/>
          <w:bottom w:w="0" w:type="dxa"/>
          <w:right w:w="0" w:type="dxa"/>
        </w:tblCellMar>
      </w:tblPr>
      <w:tr>
        <w:trPr>
          <w:trHeight w:val="185"/>
        </w:trPr>
        <w:tc>
          <w:tcPr>
            <w:tcW w:w="826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1"/>
              </w:rPr>
              <w:t>PAGE</w:t>
            </w:r>
          </w:p>
        </w:tc>
        <w:tc>
          <w:tcPr>
            <w:tcW w:w="0" w:type="dxa"/>
            <w:vAlign w:val="bottom"/>
          </w:tcPr>
          <w:p>
            <w:pPr>
              <w:spacing w:after="0"/>
              <w:rPr>
                <w:sz w:val="1"/>
                <w:szCs w:val="1"/>
                <w:color w:val="auto"/>
              </w:rPr>
            </w:pPr>
          </w:p>
        </w:tc>
      </w:tr>
      <w:tr>
        <w:trPr>
          <w:trHeight w:val="145"/>
        </w:trPr>
        <w:tc>
          <w:tcPr>
            <w:tcW w:w="8260" w:type="dxa"/>
            <w:vAlign w:val="bottom"/>
            <w:vMerge w:val="continue"/>
          </w:tcPr>
          <w:p>
            <w:pPr>
              <w:spacing w:after="0"/>
              <w:rPr>
                <w:sz w:val="12"/>
                <w:szCs w:val="12"/>
                <w:color w:val="auto"/>
              </w:rPr>
            </w:pPr>
          </w:p>
        </w:tc>
        <w:tc>
          <w:tcPr>
            <w:tcW w:w="3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1.1 CERTAIN TERMS DEFINED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ARTICLE II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2.1 FORMS GENERALLY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2.2 FORM OF TRUSTEE’S CERTIFICATE OF AUTHENTICATION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2.3 AMOUNT UNLIMITED; ISSUABLE IN SERIES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2.4 AUTHENTICATION AND DELIVERY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2.5 EXECUTION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2.6 CERTIFICATE OF AUTHENTICATION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2.7 DENOMINATION AND DATE OF SECURITIES; PAYMENT OF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2.8 REGISTRATION, TRANSFER AND EXCHANGE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2.9 MUTILATED, DEFACED, DESTROYED, LOST AND STOLEN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2.10 CANCELLATION OF SECURITIES; DISPOSAL THEREOF</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2.11 TEMPORARY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2.12 CUSIP NUMBERS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ARTICLE III COVENANTS OF THE ISSUER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3.1 PAYMENT OF PRINCIPAL AND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3.2 OFFICES FOR PAYMENTS,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3.3 APPOINTMENT TO FILL A VACANCY IN OFFICE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3.4 PAYING AGENTS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3.5 COMPLIANCE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3.6 CORPORATE EXISTENCE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3.7 CALCULATION OF ORIGINAL ISSUE DISCOUNT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ARTICLE IV SECURITYHOLDER LISTS AND REPORTS BY THE ISSUER AND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4.1 ISSUER TO FURNISH TRUSTEE INFORMATION AS TO NAMES AND ADDRESSES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4.2 REPORTS BY THE ISSUER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4.3 REPORTS BY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ARTICLE V REMEDIES OF THE TRUSTEE AND SECURITYHOLDERS ON EVENT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SECTION 5.1 EVENT OF DEFAULT DEFINED, ACCELERATION OF MATURITY; WAIVER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bookmarkStart w:id="44" w:name="page45"/>
    <w:bookmarkEnd w:id="44"/>
    <w:tbl>
      <w:tblPr>
        <w:tblLayout w:type="fixed"/>
        <w:tblInd w:w="200" w:type="dxa"/>
        <w:tblCellMar>
          <w:top w:w="0" w:type="dxa"/>
          <w:left w:w="0" w:type="dxa"/>
          <w:bottom w:w="0" w:type="dxa"/>
          <w:right w:w="0" w:type="dxa"/>
        </w:tblCellMar>
      </w:tblP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5.2 COLLECTION OF INDEBTEDNESS BY TRUSTEE; TRUSTEE MAY PROVE DEBT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5.3 APPLICATION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5.4 SUITS FOR ENFORCEMENT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5.5 RESTORATION OF RIGHTS ON ABANDONMENT OF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5.6 LIMITATIONS ON SUITS BY SECURITY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5.7 UNCONDITIONAL RIGHT OF SECURITYHOLDERS TO INSTITUTE CERTAIN SUITS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5.8 POWERS AND REMEDIES CUMULATIVE; DELAY OR OMISSION NOT WAIVER OF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5.9 CONTROL BY HOLDERS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5.10 WAIVER OF PAST DEFAULTS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5.11 TRUSTEE TO GIVE NOTICE OF DEFAULT, BUT MAY WITHHOLD IN CERTAIN CIRCUMSTANCES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5.12 RIGHT OF COURT TO REQUIRE FILING OF UNDERTAKING TO PAY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ARTICLE VI CONCERNING THE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 DUTIES AND RESPONSIBILITIES OF THE TRUSTEE; DURING DEFAULT; PRIOR TO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6.2 CERTAIN RIGHTS OF THE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6.3 TRUSTEE NOT RESPONSIBLE FOR RECITALS, DISPOSITION OF SECURITIES OR APPLICATION OF PROCEEDS</w:t>
            </w:r>
          </w:p>
        </w:tc>
        <w:tc>
          <w:tcPr>
            <w:tcW w:w="420" w:type="dxa"/>
            <w:vAlign w:val="bottom"/>
          </w:tcPr>
          <w:p>
            <w:pPr>
              <w:spacing w:after="0"/>
              <w:rPr>
                <w:sz w:val="14"/>
                <w:szCs w:val="14"/>
                <w:color w:val="auto"/>
              </w:rPr>
            </w:pPr>
          </w:p>
        </w:tc>
      </w:tr>
      <w:tr>
        <w:trPr>
          <w:trHeight w:val="169"/>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THEREOF</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6.4 TRUSTEE AND AGENTS MAY HOLD SECURITIES; COLLECTIONS, ETC.</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6.5 MONEYS HELD BY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6.6 COMPENSATION AND INDEMNIFICATION OF TRUSTEE AND ITS PRIOR CLAIM</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6.7 RIGHT OF TRUSTEE TO RELY ON OFFICERS’ CERTIFICATE, ETC.</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6.8 INDENTURES NOT CREATING POTENTIAL CONFLICTING INTERESTS FOR THE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6.9 QUALIFICATION OF TRUSTEE: CONFLICTING INTERESTS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6.10 PERSONS ELIGIBLE FOR APPOINTMENT AS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6.11 RESIGNATION AND REMOVAL; APPOINTMENT OF SUCCESSOR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6.12 ACCEPTANCE OF APPOINTMENT BY SUCCESSOR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6.13 MERGER, CONVERSION, CONSOLIDATION OR SUCCESSION TO BUSINESS OF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9"/>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6.14 PREFERENTIAL COLLECTION OF CLAIMS AGAINST THE ISSUER</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3"/>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SECTION 6.15 APPOINTMENT OF AUTHENTICATING AGENT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bl>
    <w:p>
      <w:pPr>
        <w:jc w:val="right"/>
        <w:spacing w:after="0"/>
        <w:rPr>
          <w:sz w:val="20"/>
          <w:szCs w:val="20"/>
          <w:color w:val="auto"/>
        </w:rPr>
        <w:sectPr>
          <w:pgSz w:w="11900" w:h="16838" w:orient="portrait"/>
          <w:cols w:equalWidth="0" w:num="1">
            <w:col w:w="9019"/>
          </w:cols>
          <w:pgMar w:left="1440" w:top="241"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bookmarkStart w:id="45" w:name="page46"/>
    <w:bookmarkEnd w:id="45"/>
    <w:tbl>
      <w:tblPr>
        <w:tblLayout w:type="fixed"/>
        <w:tblInd w:w="200" w:type="dxa"/>
        <w:tblCellMar>
          <w:top w:w="0" w:type="dxa"/>
          <w:left w:w="0" w:type="dxa"/>
          <w:bottom w:w="0" w:type="dxa"/>
          <w:right w:w="0" w:type="dxa"/>
        </w:tblCellMar>
      </w:tblP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ARTICLE VII CONCERNING THE SECURITYHOLDERS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7.1 EVIDENCE OF ACTION TAKEN BY SECURITYHOLDERS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7.2 PROOF OF EXECUTION OF INSTRUMENTS AND OF HOLDING OF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7.3 HOLDERS TO BE TREATED AS OWNERS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7.4 SECURITIES OWNED BY ISSUER DEEMED NOT OUTSTANDING</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7.5 RIGHT OF REVOCATION OF ACTION TAKEN</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ARTICLE VIII SUPPLEMENTAL INDENTURES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8.1 SUPPLEMENTAL INDENTURES WITHOUT CONSENT OF SECURITYHOLDERS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8.2 SUPPLEMENTAL INDENTURES WITH CONSENT OF SECURITYHOLDERS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8.3 EFFECT OF SUPPLEMENTAL INDENTURE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8.4 DOCUMENTS TO BE GIVEN TO TRUSTEE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8.5 NOTATION ON SECURITIES IN RESPECT OF SUPPLEMENTAL INDENTURES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ARTICLE IX CONSOLIDATION, MERGER, SALE OR CONVEYANCE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9.1 ISSUER MAY CONSOLIDATE, ETC., ONLY ON CERTAIN TERMS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9.2 SUCCESSOR PERSON SUBSTITUTED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9.3 OPINION OF COUNSEL TO BE GIVEN TO TRUSTEE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ARTICLE X SATISFACTION AND DISCHARGE OF INDENTURE; UNCLAIMED MONEYS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10.1 SATISFACTION AND DISCHARGE OF INDENTURE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10.2 APPLICATION BY TRUSTEE OF FUNDS DEPOSITED FOR PAYMENT OF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10.3 REPAYMENT OF MONEYS HELD BY PAYING AGENT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10.4 RETURN OF MONEYS HELD BY TRUSTEE AND PAYING AGENT UNCLAIMED FOR TWO 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10.5 INDEMNITY FOR U.S. GOVERNMENT OBLIGATIONS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10.6 EFFECT ON SUBORDINATION PROVISIONS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ARTICLE XI MISCELLANEOUS PROVISIONS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11.1 INCORPORATORS, STOCKHOLDERS, OFFICERS AND DIRECTORS OF ISSUER EXEMPT FROM INDIVIDUAL</w:t>
            </w:r>
          </w:p>
        </w:tc>
        <w:tc>
          <w:tcPr>
            <w:tcW w:w="480" w:type="dxa"/>
            <w:vAlign w:val="bottom"/>
          </w:tcPr>
          <w:p>
            <w:pPr>
              <w:spacing w:after="0"/>
              <w:rPr>
                <w:sz w:val="14"/>
                <w:szCs w:val="14"/>
                <w:color w:val="auto"/>
              </w:rPr>
            </w:pPr>
          </w:p>
        </w:tc>
      </w:tr>
      <w:tr>
        <w:trPr>
          <w:trHeight w:val="169"/>
        </w:trPr>
        <w:tc>
          <w:tcPr>
            <w:tcW w:w="8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11.2 PROVISIONS OF INDENTURE FOR THE SOLE BENEFIT OF PARTIES AND HOLDERS OF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11.3 SUCCESSORS AND ASSIGNS OF ISSUER BOUND BY INDENTURE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3"/>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SECTION 11.4 NOTICES AND DEMANDS ON ISSUER, TRUSTEE AND HOLDERS OF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jc w:val="right"/>
        <w:spacing w:after="0"/>
        <w:rPr>
          <w:sz w:val="20"/>
          <w:szCs w:val="20"/>
          <w:color w:val="auto"/>
        </w:rPr>
        <w:sectPr>
          <w:pgSz w:w="11900" w:h="16838" w:orient="portrait"/>
          <w:cols w:equalWidth="0" w:num="1">
            <w:col w:w="9019"/>
          </w:cols>
          <w:pgMar w:left="1440" w:top="241"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bookmarkStart w:id="46" w:name="page47"/>
    <w:bookmarkEnd w:id="46"/>
    <w:tbl>
      <w:tblPr>
        <w:tblLayout w:type="fixed"/>
        <w:tblInd w:w="200" w:type="dxa"/>
        <w:tblCellMar>
          <w:top w:w="0" w:type="dxa"/>
          <w:left w:w="0" w:type="dxa"/>
          <w:bottom w:w="0" w:type="dxa"/>
          <w:right w:w="0" w:type="dxa"/>
        </w:tblCellMar>
      </w:tblP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11.5 OFFICERS’ CERTIFICATES AND OPINIONS OF COUNSEL; STATEMENTS TO BE CONTAINED THEREIN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11.6 PAYMENTS DUE ON SATURDAYS, SUNDAYS AND HOLIDAYS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11.7 CONFLICT OF ANY PROVISION OF INDENTURE WITH TRUST INDENTURE ACT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11.8 NEW YORK LAW TO GOVERN; WAIVER OF JURY TRIAL</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11.9 COUNTERPARTS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11.10 EFFECT OF HEADINGS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11.11 SECURITIES IN A FOREIGN CURRENCY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11.12 JUDGMENT CURRENCY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11.13 AGREEMENT TO SUBORDINATE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11.14 FORCE MAJEURE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11.15 U.S.A. PATRIOT ACT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ARTICLE XII REDEMPTION OF SECURITIES AND SINKING FUNDS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12.1 APPLICABILITY OF ARTICLE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12.2 NOTICE OF REDEMPTION; PARTIAL REDEMPTIONS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12.3 PAYMENT OF SECURITIES CALLED FOR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12.4 EXCLUSION OF CERTAIN SECURITIES FROM ELIGIBILITY FOR SELECTION FOR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3"/>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SECTION 12.5 MANDATORY AND OPTIONAL SINKING FUNDS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bl>
    <w:p>
      <w:pPr>
        <w:jc w:val="right"/>
        <w:spacing w:after="0"/>
        <w:rPr>
          <w:sz w:val="20"/>
          <w:szCs w:val="20"/>
          <w:color w:val="auto"/>
        </w:rPr>
        <w:sectPr>
          <w:pgSz w:w="11900" w:h="16838" w:orient="portrait"/>
          <w:cols w:equalWidth="0" w:num="1">
            <w:col w:w="9019"/>
          </w:cols>
          <w:pgMar w:left="1440" w:top="241"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bookmarkStart w:id="47" w:name="page48"/>
    <w:bookmarkEnd w:id="47"/>
    <w:p>
      <w:pPr>
        <w:ind w:left="200" w:right="459" w:firstLine="34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THIS INDENTURE, dated as of [ ], by and between AEVA TECHNOLOGIES, INC., a Delaware corporation (the “Issuer”), and [ ], as trustee (the “Trustee”).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WITNESSETH:</w:t>
      </w:r>
    </w:p>
    <w:p>
      <w:pPr>
        <w:spacing w:after="0" w:line="176" w:lineRule="exact"/>
        <w:rPr>
          <w:sz w:val="20"/>
          <w:szCs w:val="20"/>
          <w:color w:val="auto"/>
        </w:rPr>
      </w:pPr>
    </w:p>
    <w:p>
      <w:pPr>
        <w:ind w:left="200" w:right="279" w:firstLine="344"/>
        <w:spacing w:after="0" w:line="268" w:lineRule="auto"/>
        <w:rPr>
          <w:sz w:val="20"/>
          <w:szCs w:val="20"/>
          <w:color w:val="auto"/>
        </w:rPr>
      </w:pPr>
      <w:r>
        <w:rPr>
          <w:rFonts w:ascii="Times New Roman" w:cs="Times New Roman" w:eastAsia="Times New Roman" w:hAnsi="Times New Roman"/>
          <w:sz w:val="14"/>
          <w:szCs w:val="14"/>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w:t>
      </w:r>
    </w:p>
    <w:p>
      <w:pPr>
        <w:spacing w:after="0" w:line="135" w:lineRule="exact"/>
        <w:rPr>
          <w:sz w:val="20"/>
          <w:szCs w:val="20"/>
          <w:color w:val="auto"/>
        </w:rPr>
      </w:pPr>
    </w:p>
    <w:p>
      <w:pPr>
        <w:ind w:left="200" w:right="499" w:firstLine="344"/>
        <w:spacing w:after="0" w:line="284" w:lineRule="auto"/>
        <w:rPr>
          <w:sz w:val="20"/>
          <w:szCs w:val="20"/>
          <w:color w:val="auto"/>
        </w:rPr>
      </w:pPr>
      <w:r>
        <w:rPr>
          <w:rFonts w:ascii="Times New Roman" w:cs="Times New Roman" w:eastAsia="Times New Roman" w:hAnsi="Times New Roman"/>
          <w:sz w:val="14"/>
          <w:szCs w:val="14"/>
          <w:color w:val="auto"/>
        </w:rPr>
        <w:t>WHEREAS, the Issuer has duly authorized the execution and delivery of this Indenture to provide, among other things, for the authentication, delivery and administration of the Securities; and</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WHEREAS, all things necessary to make this Indenture a valid and legally binding indenture and agreement according to its terms have been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done;</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NOW, THEREFORE:</w:t>
      </w:r>
    </w:p>
    <w:p>
      <w:pPr>
        <w:spacing w:after="0" w:line="176" w:lineRule="exact"/>
        <w:rPr>
          <w:sz w:val="20"/>
          <w:szCs w:val="20"/>
          <w:color w:val="auto"/>
        </w:rPr>
      </w:pPr>
    </w:p>
    <w:p>
      <w:pPr>
        <w:ind w:left="200" w:right="259" w:firstLine="344"/>
        <w:spacing w:after="0" w:line="284" w:lineRule="auto"/>
        <w:rPr>
          <w:sz w:val="20"/>
          <w:szCs w:val="20"/>
          <w:color w:val="auto"/>
        </w:rPr>
      </w:pPr>
      <w:r>
        <w:rPr>
          <w:rFonts w:ascii="Times New Roman" w:cs="Times New Roman" w:eastAsia="Times New Roman" w:hAnsi="Times New Roman"/>
          <w:sz w:val="14"/>
          <w:szCs w:val="14"/>
          <w:color w:val="auto"/>
        </w:rPr>
        <w:t>In consideration of the premises and the purchases of the Securities by the holders thereof, the Issuer and the Trustee mutually covenant and agree for the equal and proportionate benefit of the holders from time to time of the Securities as follows: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 CERTAIN TERMS DEFINED</w:t>
      </w:r>
    </w:p>
    <w:p>
      <w:pPr>
        <w:spacing w:after="0" w:line="178" w:lineRule="exact"/>
        <w:rPr>
          <w:sz w:val="20"/>
          <w:szCs w:val="20"/>
          <w:color w:val="auto"/>
        </w:rPr>
      </w:pPr>
    </w:p>
    <w:p>
      <w:pPr>
        <w:ind w:left="200" w:right="239" w:firstLine="344"/>
        <w:spacing w:after="0" w:line="254" w:lineRule="auto"/>
        <w:rPr>
          <w:sz w:val="20"/>
          <w:szCs w:val="20"/>
          <w:color w:val="auto"/>
        </w:rPr>
      </w:pPr>
      <w:r>
        <w:rPr>
          <w:rFonts w:ascii="Times New Roman" w:cs="Times New Roman" w:eastAsia="Times New Roman" w:hAnsi="Times New Roman"/>
          <w:sz w:val="14"/>
          <w:szCs w:val="14"/>
          <w:color w:val="auto"/>
        </w:rPr>
        <w:t>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as amended (the “Trust Indenture Act”), or the definitions of which in the Securities Act of 1933, as amended (the “Securities Act”), are referred to in the Trust Indenture Act, including terms defined therein by reference to the Securities Act (except as herein otherwise expressly provided or unless the context otherwise requires), shall have the meaning assigned to such terms in the Trust Indenture Act and in the Securities Act as in effect from time to time.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unless a different time shall be specified with respect to such series of Securities as provided for in Section 2.3.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“Affiliate” has the same meaning as given to that term in Rule 405 of the Securities Act or any successor provision.</w:t>
      </w:r>
    </w:p>
    <w:p>
      <w:pPr>
        <w:spacing w:after="0" w:line="1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1" w:right="1440" w:bottom="1440" w:gutter="0" w:footer="0" w:header="0"/>
        </w:sectPr>
      </w:pPr>
    </w:p>
    <w:bookmarkStart w:id="48" w:name="page49"/>
    <w:bookmarkEnd w:id="48"/>
    <w:p>
      <w:pPr>
        <w:ind w:left="200" w:right="359" w:firstLine="34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“Applicable Procedures” means, with respect to any matter at any time, the policies and procedures of a Depositary, if any, that are applicable to such matter at such time.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“Authenticating Agent” shall have the meaning set forth in Section 6.15.</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“Board of Directors” means either the Board of Directors of the Issuer or any committee of such Board duly authorized to act on its behalf.</w:t>
      </w:r>
    </w:p>
    <w:p>
      <w:pPr>
        <w:spacing w:after="0" w:line="176" w:lineRule="exact"/>
        <w:rPr>
          <w:sz w:val="20"/>
          <w:szCs w:val="20"/>
          <w:color w:val="auto"/>
        </w:rPr>
      </w:pPr>
    </w:p>
    <w:p>
      <w:pPr>
        <w:ind w:left="200" w:right="439" w:firstLine="344"/>
        <w:spacing w:after="0" w:line="284" w:lineRule="auto"/>
        <w:rPr>
          <w:sz w:val="20"/>
          <w:szCs w:val="20"/>
          <w:color w:val="auto"/>
        </w:rPr>
      </w:pPr>
      <w:r>
        <w:rPr>
          <w:rFonts w:ascii="Times New Roman" w:cs="Times New Roman" w:eastAsia="Times New Roman" w:hAnsi="Times New Roman"/>
          <w:sz w:val="14"/>
          <w:szCs w:val="14"/>
          <w:color w:val="auto"/>
        </w:rPr>
        <w:t>“Board Resolution” means a copy of one or more resolutions, certified by the secretary or an assistant secretary of the Issuer to have been duly adopted or consented to by the Board of Directors and to be in full force and effect, and delivered to the Trustee.</w:t>
      </w:r>
    </w:p>
    <w:p>
      <w:pPr>
        <w:spacing w:after="0" w:line="125" w:lineRule="exact"/>
        <w:rPr>
          <w:sz w:val="20"/>
          <w:szCs w:val="20"/>
          <w:color w:val="auto"/>
        </w:rPr>
      </w:pPr>
    </w:p>
    <w:p>
      <w:pPr>
        <w:ind w:left="200" w:right="239" w:firstLine="344"/>
        <w:spacing w:after="0" w:line="268" w:lineRule="auto"/>
        <w:rPr>
          <w:sz w:val="20"/>
          <w:szCs w:val="20"/>
          <w:color w:val="auto"/>
        </w:rPr>
      </w:pPr>
      <w:r>
        <w:rPr>
          <w:rFonts w:ascii="Times New Roman" w:cs="Times New Roman" w:eastAsia="Times New Roman" w:hAnsi="Times New Roman"/>
          <w:sz w:val="14"/>
          <w:szCs w:val="14"/>
          <w:color w:val="auto"/>
        </w:rPr>
        <w:t>“Business Day” means, with respect to any Security, a day that is not a day on which banking institutions in the city (or in any of the cities, if more than one) in which amounts are payable, as specified in the form of such Security, are authorized or required by any applicable law or regulation to be closed.</w:t>
      </w:r>
    </w:p>
    <w:p>
      <w:pPr>
        <w:spacing w:after="0" w:line="135" w:lineRule="exact"/>
        <w:rPr>
          <w:sz w:val="20"/>
          <w:szCs w:val="20"/>
          <w:color w:val="auto"/>
        </w:rPr>
      </w:pPr>
    </w:p>
    <w:p>
      <w:pPr>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t>“Capital Stock” means, with respect to any corporation, any and all shares, interests, rights to purchase (other than convertible or exchangeable indebtedness that is not itself otherwise capital stock), warrants, options, participations or other equivalents of or interests (however designated) in stock issued by that corporation.</w:t>
      </w:r>
    </w:p>
    <w:p>
      <w:pPr>
        <w:spacing w:after="0" w:line="135" w:lineRule="exact"/>
        <w:rPr>
          <w:sz w:val="20"/>
          <w:szCs w:val="20"/>
          <w:color w:val="auto"/>
        </w:rPr>
      </w:pPr>
    </w:p>
    <w:p>
      <w:pPr>
        <w:jc w:val="both"/>
        <w:ind w:left="200" w:right="459" w:firstLine="344"/>
        <w:spacing w:after="0" w:line="268" w:lineRule="auto"/>
        <w:rPr>
          <w:sz w:val="20"/>
          <w:szCs w:val="20"/>
          <w:color w:val="auto"/>
        </w:rPr>
      </w:pPr>
      <w:r>
        <w:rPr>
          <w:rFonts w:ascii="Times New Roman" w:cs="Times New Roman" w:eastAsia="Times New Roman" w:hAnsi="Times New Roman"/>
          <w:sz w:val="14"/>
          <w:szCs w:val="14"/>
          <w:color w:val="auto"/>
        </w:rPr>
        <w:t>“Commission” means the Securities and Exchange Commission, as from time to time constituted, created under the Exchange Act, or if at any time after the execution and delivery of this Indenture such Commission is not existing and performing the duties now assigned to it under the Trust Indenture Act, then the body performing such duties on such date.</w:t>
      </w:r>
    </w:p>
    <w:p>
      <w:pPr>
        <w:spacing w:after="0" w:line="135" w:lineRule="exact"/>
        <w:rPr>
          <w:sz w:val="20"/>
          <w:szCs w:val="20"/>
          <w:color w:val="auto"/>
        </w:rPr>
      </w:pPr>
    </w:p>
    <w:p>
      <w:pPr>
        <w:ind w:left="200" w:right="639" w:firstLine="344"/>
        <w:spacing w:after="0" w:line="284" w:lineRule="auto"/>
        <w:rPr>
          <w:sz w:val="20"/>
          <w:szCs w:val="20"/>
          <w:color w:val="auto"/>
        </w:rPr>
      </w:pPr>
      <w:r>
        <w:rPr>
          <w:rFonts w:ascii="Times New Roman" w:cs="Times New Roman" w:eastAsia="Times New Roman" w:hAnsi="Times New Roman"/>
          <w:sz w:val="14"/>
          <w:szCs w:val="14"/>
          <w:color w:val="auto"/>
        </w:rPr>
        <w:t>“Corporate Trust Office” means the office of the Trustee at which the corporate trust business of the Trustee shall, at any particular time, be principally administered, which office is, as of the date of this Indenture, located at [ ].</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“covenant defeasance” shall have the meaning set forth in Section 10.1(C).</w:t>
      </w:r>
    </w:p>
    <w:p>
      <w:pPr>
        <w:spacing w:after="0" w:line="176" w:lineRule="exact"/>
        <w:rPr>
          <w:sz w:val="20"/>
          <w:szCs w:val="20"/>
          <w:color w:val="auto"/>
        </w:rPr>
      </w:pPr>
    </w:p>
    <w:p>
      <w:pPr>
        <w:ind w:left="200" w:right="299" w:firstLine="344"/>
        <w:spacing w:after="0" w:line="259" w:lineRule="auto"/>
        <w:rPr>
          <w:sz w:val="20"/>
          <w:szCs w:val="20"/>
          <w:color w:val="auto"/>
        </w:rPr>
      </w:pPr>
      <w:r>
        <w:rPr>
          <w:rFonts w:ascii="Times New Roman" w:cs="Times New Roman" w:eastAsia="Times New Roman" w:hAnsi="Times New Roman"/>
          <w:sz w:val="14"/>
          <w:szCs w:val="14"/>
          <w:color w:val="auto"/>
        </w:rPr>
        <w:t>“Depositary” means, with respect to the Securities of any series issuable or issued in the form of one or more Registered Global Securities, the Person designated as Depositary by the Issuer pursuant to Section 2.3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43" w:lineRule="exact"/>
        <w:rPr>
          <w:sz w:val="20"/>
          <w:szCs w:val="20"/>
          <w:color w:val="auto"/>
        </w:rPr>
      </w:pPr>
    </w:p>
    <w:p>
      <w:pPr>
        <w:ind w:left="200" w:right="259" w:firstLine="344"/>
        <w:spacing w:after="0" w:line="284" w:lineRule="auto"/>
        <w:rPr>
          <w:sz w:val="20"/>
          <w:szCs w:val="20"/>
          <w:color w:val="auto"/>
        </w:rPr>
      </w:pPr>
      <w:r>
        <w:rPr>
          <w:rFonts w:ascii="Times New Roman" w:cs="Times New Roman" w:eastAsia="Times New Roman" w:hAnsi="Times New Roman"/>
          <w:sz w:val="14"/>
          <w:szCs w:val="14"/>
          <w:color w:val="auto"/>
        </w:rPr>
        <w:t>“Dollar” or “$” means the coin or currency of the United States of America as at the time of payment is legal tender for the payment of public and private debts.</w:t>
      </w:r>
    </w:p>
    <w:p>
      <w:pPr>
        <w:spacing w:after="0" w:line="125" w:lineRule="exact"/>
        <w:rPr>
          <w:sz w:val="20"/>
          <w:szCs w:val="20"/>
          <w:color w:val="auto"/>
        </w:rPr>
      </w:pPr>
    </w:p>
    <w:p>
      <w:pPr>
        <w:ind w:left="200" w:right="279" w:firstLine="344"/>
        <w:spacing w:after="0" w:line="268" w:lineRule="auto"/>
        <w:rPr>
          <w:sz w:val="20"/>
          <w:szCs w:val="20"/>
          <w:color w:val="auto"/>
        </w:rPr>
      </w:pPr>
      <w:r>
        <w:rPr>
          <w:rFonts w:ascii="Times New Roman" w:cs="Times New Roman" w:eastAsia="Times New Roman" w:hAnsi="Times New Roman"/>
          <w:sz w:val="14"/>
          <w:szCs w:val="14"/>
          <w:color w:val="auto"/>
        </w:rPr>
        <w:t>“Equity Interests” means Capital Stock or partnership, participation or membership interests and all warrants, options or other rights to acquire Capital Stock or partnership, participation or membership interests (but excluding any debt security that is convertible into, or exchangeable for, Capital Stock or partnership, participation or membership interests).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49" w:name="page50"/>
    <w:bookmarkEnd w:id="49"/>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“Event of Default” means any event or condition specified as such in Section 5.1.</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76" w:lineRule="exact"/>
        <w:rPr>
          <w:sz w:val="20"/>
          <w:szCs w:val="20"/>
          <w:color w:val="auto"/>
        </w:rPr>
      </w:pPr>
    </w:p>
    <w:p>
      <w:pPr>
        <w:ind w:left="200" w:right="319" w:firstLine="344"/>
        <w:spacing w:after="0" w:line="284" w:lineRule="auto"/>
        <w:rPr>
          <w:sz w:val="20"/>
          <w:szCs w:val="20"/>
          <w:color w:val="auto"/>
        </w:rPr>
      </w:pPr>
      <w:r>
        <w:rPr>
          <w:rFonts w:ascii="Times New Roman" w:cs="Times New Roman" w:eastAsia="Times New Roman" w:hAnsi="Times New Roman"/>
          <w:sz w:val="14"/>
          <w:szCs w:val="14"/>
          <w:color w:val="auto"/>
        </w:rPr>
        <w:t>“Fair Value” when used with respect to any Voting Equity Interests of the Issuer means the fair value as determined in good faith by the Board of Directors of the Issuer.</w:t>
      </w:r>
    </w:p>
    <w:p>
      <w:pPr>
        <w:spacing w:after="0" w:line="125" w:lineRule="exact"/>
        <w:rPr>
          <w:sz w:val="20"/>
          <w:szCs w:val="20"/>
          <w:color w:val="auto"/>
        </w:rPr>
      </w:pPr>
    </w:p>
    <w:p>
      <w:pPr>
        <w:ind w:left="200" w:right="339" w:firstLine="344"/>
        <w:spacing w:after="0" w:line="268" w:lineRule="auto"/>
        <w:rPr>
          <w:sz w:val="20"/>
          <w:szCs w:val="20"/>
          <w:color w:val="auto"/>
        </w:rPr>
      </w:pPr>
      <w:r>
        <w:rPr>
          <w:rFonts w:ascii="Times New Roman" w:cs="Times New Roman" w:eastAsia="Times New Roman" w:hAnsi="Times New Roman"/>
          <w:sz w:val="14"/>
          <w:szCs w:val="14"/>
          <w:color w:val="auto"/>
        </w:rPr>
        <w:t>“Foreign Currency” means any coin, currency, currency unit or composite currency, including, without limitation, the euro, issued by the government of one or more countries, other than the United States of America or by any internationally recognized union, confederation or association of such governments.</w:t>
      </w:r>
    </w:p>
    <w:p>
      <w:pPr>
        <w:spacing w:after="0" w:line="135" w:lineRule="exact"/>
        <w:rPr>
          <w:sz w:val="20"/>
          <w:szCs w:val="20"/>
          <w:color w:val="auto"/>
        </w:rPr>
      </w:pPr>
    </w:p>
    <w:p>
      <w:pPr>
        <w:ind w:left="200" w:right="619" w:firstLine="344"/>
        <w:spacing w:after="0" w:line="284" w:lineRule="auto"/>
        <w:rPr>
          <w:sz w:val="20"/>
          <w:szCs w:val="20"/>
          <w:color w:val="auto"/>
        </w:rPr>
      </w:pPr>
      <w:r>
        <w:rPr>
          <w:rFonts w:ascii="Times New Roman" w:cs="Times New Roman" w:eastAsia="Times New Roman" w:hAnsi="Times New Roman"/>
          <w:sz w:val="14"/>
          <w:szCs w:val="14"/>
          <w:color w:val="auto"/>
        </w:rPr>
        <w:t>“Holder,” “Holder of Securities,” “Securityholder” or any other similar terms mean the person in whose name a Security is registered in the security register kept by the Issuer for that purpose in accordance with the terms hereof.</w:t>
      </w:r>
    </w:p>
    <w:p>
      <w:pPr>
        <w:spacing w:after="0" w:line="125" w:lineRule="exact"/>
        <w:rPr>
          <w:sz w:val="20"/>
          <w:szCs w:val="20"/>
          <w:color w:val="auto"/>
        </w:rPr>
      </w:pPr>
    </w:p>
    <w:p>
      <w:pPr>
        <w:ind w:left="200" w:right="259" w:firstLine="344"/>
        <w:spacing w:after="0" w:line="256" w:lineRule="auto"/>
        <w:rPr>
          <w:sz w:val="20"/>
          <w:szCs w:val="20"/>
          <w:color w:val="auto"/>
        </w:rPr>
      </w:pPr>
      <w:r>
        <w:rPr>
          <w:rFonts w:ascii="Times New Roman" w:cs="Times New Roman" w:eastAsia="Times New Roman" w:hAnsi="Times New Roman"/>
          <w:sz w:val="14"/>
          <w:szCs w:val="14"/>
          <w:color w:val="auto"/>
        </w:rPr>
        <w:t xml:space="preserve">“Indenture” means this instrument as originally executed and delivered or, if amended or supplemented as herein provided, as so amended or supplemented or both, and shall include the forms and terms of particular series of Securities established as contemplated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at any time more than one Person is acting as Trustee under this instrument, “Indenture” shall mean, with respect to one or more series of Securities for which such person is trustee, this instrument as originally executed and delivered or, if amended or supplemented as herein provided, as so amended or supplemented or both, and shall include the forms and terms of those particular series of Securities for which such Person is Trustee established as contemplated hereunder, exclusive, however, of any provisions or terms which relate solely to other series of Securities for which such person is not Trustee, regardless of when such terms or provisions were adopted.</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“IRS” means the Internal Revenue Service of the United States Department of the Treasury, or any successor entity.</w:t>
      </w:r>
    </w:p>
    <w:p>
      <w:pPr>
        <w:spacing w:after="0" w:line="176" w:lineRule="exact"/>
        <w:rPr>
          <w:sz w:val="20"/>
          <w:szCs w:val="20"/>
          <w:color w:val="auto"/>
        </w:rPr>
      </w:pPr>
    </w:p>
    <w:p>
      <w:pPr>
        <w:ind w:left="200" w:right="619" w:firstLine="344"/>
        <w:spacing w:after="0" w:line="284" w:lineRule="auto"/>
        <w:rPr>
          <w:sz w:val="20"/>
          <w:szCs w:val="20"/>
          <w:color w:val="auto"/>
        </w:rPr>
      </w:pPr>
      <w:r>
        <w:rPr>
          <w:rFonts w:ascii="Times New Roman" w:cs="Times New Roman" w:eastAsia="Times New Roman" w:hAnsi="Times New Roman"/>
          <w:sz w:val="14"/>
          <w:szCs w:val="14"/>
          <w:color w:val="auto"/>
        </w:rPr>
        <w:t>“Issuer” means (except as otherwise provided in Article IX) Aeva Technologies, Inc., a Delaware corporation, and, subject to Article IX, its successors and assigns.</w:t>
      </w:r>
    </w:p>
    <w:p>
      <w:pPr>
        <w:spacing w:after="0" w:line="125" w:lineRule="exact"/>
        <w:rPr>
          <w:sz w:val="20"/>
          <w:szCs w:val="20"/>
          <w:color w:val="auto"/>
        </w:rPr>
      </w:pPr>
    </w:p>
    <w:p>
      <w:pPr>
        <w:ind w:left="200" w:right="339" w:firstLine="344"/>
        <w:spacing w:after="0" w:line="284" w:lineRule="auto"/>
        <w:rPr>
          <w:sz w:val="20"/>
          <w:szCs w:val="20"/>
          <w:color w:val="auto"/>
        </w:rPr>
      </w:pPr>
      <w:r>
        <w:rPr>
          <w:rFonts w:ascii="Times New Roman" w:cs="Times New Roman" w:eastAsia="Times New Roman" w:hAnsi="Times New Roman"/>
          <w:sz w:val="14"/>
          <w:szCs w:val="14"/>
          <w:color w:val="auto"/>
        </w:rPr>
        <w:t>“Issuer Order” means a written statement, request or order of the Issuer signed in its name by the president, any vice president or the treasurer of the Issuer.</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“Judgment Currency” has the meaning set forth in Section 11.12.</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“Non-U.S. Person” means any person that is not a “U.S. person” as such term is defined in Rule 902 of the Securities Act.</w:t>
      </w:r>
    </w:p>
    <w:p>
      <w:pPr>
        <w:spacing w:after="0" w:line="176" w:lineRule="exact"/>
        <w:rPr>
          <w:sz w:val="20"/>
          <w:szCs w:val="20"/>
          <w:color w:val="auto"/>
        </w:rPr>
      </w:pPr>
    </w:p>
    <w:p>
      <w:pPr>
        <w:ind w:left="200" w:right="479" w:firstLine="344"/>
        <w:spacing w:after="0" w:line="284" w:lineRule="auto"/>
        <w:rPr>
          <w:sz w:val="20"/>
          <w:szCs w:val="20"/>
          <w:color w:val="auto"/>
        </w:rPr>
      </w:pPr>
      <w:r>
        <w:rPr>
          <w:rFonts w:ascii="Times New Roman" w:cs="Times New Roman" w:eastAsia="Times New Roman" w:hAnsi="Times New Roman"/>
          <w:sz w:val="14"/>
          <w:szCs w:val="14"/>
          <w:color w:val="auto"/>
        </w:rPr>
        <w:t>“Officers’ Certificate” means a certificate signed by the chief executive officer and the chief financial officer of the Issuer and delivered to the Trustee.</w:t>
      </w:r>
    </w:p>
    <w:p>
      <w:pPr>
        <w:spacing w:after="0" w:line="125" w:lineRule="exact"/>
        <w:rPr>
          <w:sz w:val="20"/>
          <w:szCs w:val="20"/>
          <w:color w:val="auto"/>
        </w:rPr>
      </w:pPr>
    </w:p>
    <w:p>
      <w:pPr>
        <w:ind w:left="200" w:right="679" w:firstLine="344"/>
        <w:spacing w:after="0" w:line="284" w:lineRule="auto"/>
        <w:rPr>
          <w:sz w:val="20"/>
          <w:szCs w:val="20"/>
          <w:color w:val="auto"/>
        </w:rPr>
      </w:pPr>
      <w:r>
        <w:rPr>
          <w:rFonts w:ascii="Times New Roman" w:cs="Times New Roman" w:eastAsia="Times New Roman" w:hAnsi="Times New Roman"/>
          <w:sz w:val="14"/>
          <w:szCs w:val="14"/>
          <w:color w:val="auto"/>
        </w:rPr>
        <w:t>“Opinion of Counsel” means an opinion in writing signed by legal counsel who is reasonably acceptable to the Trustee and who may be an employee of or counsel to the Issuer.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50" w:name="page51"/>
    <w:bookmarkEnd w:id="50"/>
    <w:p>
      <w:pPr>
        <w:ind w:left="200" w:right="559" w:firstLine="34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5" w:lineRule="exact"/>
        <w:rPr>
          <w:sz w:val="20"/>
          <w:szCs w:val="20"/>
          <w:color w:val="auto"/>
        </w:rPr>
      </w:pPr>
    </w:p>
    <w:p>
      <w:pPr>
        <w:ind w:left="200" w:right="379" w:firstLine="344"/>
        <w:spacing w:after="0" w:line="284" w:lineRule="auto"/>
        <w:rPr>
          <w:sz w:val="20"/>
          <w:szCs w:val="20"/>
          <w:color w:val="auto"/>
        </w:rPr>
      </w:pPr>
      <w:r>
        <w:rPr>
          <w:rFonts w:ascii="Times New Roman" w:cs="Times New Roman" w:eastAsia="Times New Roman" w:hAnsi="Times New Roman"/>
          <w:sz w:val="14"/>
          <w:szCs w:val="14"/>
          <w:color w:val="auto"/>
        </w:rPr>
        <w:t>“Original Issue Discount Security” means any Security that provides for an amount less than the principal amount thereof to be due and payable upon a declaration of acceleration of the maturity thereof pursuant to Section 5.1.</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“Outstanding” (except as otherwise provided in Section 7.4), when used with reference to Securities, means, subject to the provisions of</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Section 7.4, as of any particular time, all Securities authenticated and delivered by the Trustee under this Indenture, except:</w:t>
      </w:r>
    </w:p>
    <w:p>
      <w:pPr>
        <w:spacing w:after="0" w:line="162" w:lineRule="exact"/>
        <w:rPr>
          <w:sz w:val="20"/>
          <w:szCs w:val="20"/>
          <w:color w:val="auto"/>
        </w:rPr>
      </w:pPr>
    </w:p>
    <w:p>
      <w:pPr>
        <w:ind w:left="740" w:hanging="193"/>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theretofore cancelled by the Trustee or delivered to the Trustee for cancellation;</w:t>
      </w:r>
    </w:p>
    <w:p>
      <w:pPr>
        <w:spacing w:after="0" w:line="176" w:lineRule="exact"/>
        <w:rPr>
          <w:rFonts w:ascii="Times New Roman" w:cs="Times New Roman" w:eastAsia="Times New Roman" w:hAnsi="Times New Roman"/>
          <w:sz w:val="14"/>
          <w:szCs w:val="14"/>
          <w:color w:val="auto"/>
        </w:rPr>
      </w:pPr>
    </w:p>
    <w:p>
      <w:pPr>
        <w:ind w:left="740" w:hanging="193"/>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portions thereof, for the payment or redemption of which moneys or U.S. Government Obligations (as provided for in</w:t>
      </w:r>
    </w:p>
    <w:p>
      <w:pPr>
        <w:spacing w:after="0" w:line="22"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4"/>
          <w:szCs w:val="14"/>
          <w:color w:val="auto"/>
        </w:rPr>
        <w:t>Section 10.1)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provisions reasonably satisfactory to the Trustee shall have been made for giving such notice; and</w:t>
      </w:r>
    </w:p>
    <w:p>
      <w:pPr>
        <w:spacing w:after="0" w:line="145" w:lineRule="exact"/>
        <w:rPr>
          <w:sz w:val="20"/>
          <w:szCs w:val="20"/>
          <w:color w:val="auto"/>
        </w:rPr>
      </w:pPr>
    </w:p>
    <w:p>
      <w:pPr>
        <w:jc w:val="both"/>
        <w:ind w:left="200" w:right="319" w:firstLine="347"/>
        <w:spacing w:after="0" w:line="268" w:lineRule="auto"/>
        <w:tabs>
          <w:tab w:leader="none" w:pos="73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which shall have been paid or in substitution for which other Securities shall have been authenticated and delivered pursuant to the terms of Section 2.9 (except with respect to any such Security as to which proof reasonably satisfactory to the Trustee is presented that such Security is held by a person in whose hands such Security is a legal, valid and binding obligation of the Issuer).</w:t>
      </w:r>
    </w:p>
    <w:p>
      <w:pPr>
        <w:spacing w:after="0" w:line="135" w:lineRule="exact"/>
        <w:rPr>
          <w:sz w:val="20"/>
          <w:szCs w:val="20"/>
          <w:color w:val="auto"/>
        </w:rPr>
      </w:pPr>
    </w:p>
    <w:p>
      <w:pPr>
        <w:ind w:left="200" w:right="219" w:firstLine="344"/>
        <w:spacing w:after="0" w:line="262" w:lineRule="auto"/>
        <w:rPr>
          <w:sz w:val="20"/>
          <w:szCs w:val="20"/>
          <w:color w:val="auto"/>
        </w:rPr>
      </w:pPr>
      <w:r>
        <w:rPr>
          <w:rFonts w:ascii="Times New Roman" w:cs="Times New Roman" w:eastAsia="Times New Roman" w:hAnsi="Times New Roman"/>
          <w:sz w:val="14"/>
          <w:szCs w:val="14"/>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5.1.</w:t>
      </w:r>
    </w:p>
    <w:p>
      <w:pPr>
        <w:spacing w:after="0" w:line="140" w:lineRule="exact"/>
        <w:rPr>
          <w:sz w:val="20"/>
          <w:szCs w:val="20"/>
          <w:color w:val="auto"/>
        </w:rPr>
      </w:pPr>
    </w:p>
    <w:p>
      <w:pPr>
        <w:ind w:left="200" w:right="219" w:firstLine="344"/>
        <w:spacing w:after="0" w:line="268" w:lineRule="auto"/>
        <w:rPr>
          <w:sz w:val="20"/>
          <w:szCs w:val="20"/>
          <w:color w:val="auto"/>
        </w:rPr>
      </w:pPr>
      <w:r>
        <w:rPr>
          <w:rFonts w:ascii="Times New Roman" w:cs="Times New Roman" w:eastAsia="Times New Roman" w:hAnsi="Times New Roman"/>
          <w:sz w:val="14"/>
          <w:szCs w:val="14"/>
          <w:color w:val="auto"/>
        </w:rPr>
        <w:t>“Periodic Offering”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Issuer or its agents upon the issuance of such Securities.</w:t>
      </w:r>
    </w:p>
    <w:p>
      <w:pPr>
        <w:spacing w:after="0" w:line="135" w:lineRule="exact"/>
        <w:rPr>
          <w:sz w:val="20"/>
          <w:szCs w:val="20"/>
          <w:color w:val="auto"/>
        </w:rPr>
      </w:pPr>
    </w:p>
    <w:p>
      <w:pPr>
        <w:ind w:left="200" w:right="279" w:firstLine="344"/>
        <w:spacing w:after="0" w:line="284" w:lineRule="auto"/>
        <w:rPr>
          <w:sz w:val="20"/>
          <w:szCs w:val="20"/>
          <w:color w:val="auto"/>
        </w:rPr>
      </w:pPr>
      <w:r>
        <w:rPr>
          <w:rFonts w:ascii="Times New Roman" w:cs="Times New Roman" w:eastAsia="Times New Roman" w:hAnsi="Times New Roman"/>
          <w:sz w:val="14"/>
          <w:szCs w:val="14"/>
          <w:color w:val="auto"/>
        </w:rPr>
        <w:t>“Person” means any individual, corporation, business trust, partnership, limited liability company, joint venture, association, joint stock company, trust, unincorporated organization or government or any agency or political subdivision thereof.</w:t>
      </w:r>
    </w:p>
    <w:p>
      <w:pPr>
        <w:spacing w:after="0" w:line="125" w:lineRule="exact"/>
        <w:rPr>
          <w:sz w:val="20"/>
          <w:szCs w:val="20"/>
          <w:color w:val="auto"/>
        </w:rPr>
      </w:pPr>
    </w:p>
    <w:p>
      <w:pPr>
        <w:ind w:left="200" w:right="439" w:firstLine="344"/>
        <w:spacing w:after="0" w:line="268" w:lineRule="auto"/>
        <w:rPr>
          <w:sz w:val="20"/>
          <w:szCs w:val="20"/>
          <w:color w:val="auto"/>
        </w:rPr>
      </w:pPr>
      <w:r>
        <w:rPr>
          <w:rFonts w:ascii="Times New Roman" w:cs="Times New Roman" w:eastAsia="Times New Roman" w:hAnsi="Times New Roman"/>
          <w:sz w:val="14"/>
          <w:szCs w:val="14"/>
          <w:color w:val="auto"/>
        </w:rPr>
        <w:t>“principal,” whenever used with reference to the Securities or any Security or any portion thereof, shall be deemed to include “and premium, if any,” provided, however, that such inclusion of premium, if any, shall under no circumstances result in the double counting of such premium for the purpose of any calculation required hereunder.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51" w:name="page52"/>
    <w:bookmarkEnd w:id="51"/>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“record date” shall have the meaning set forth in Section 2.7.</w:t>
      </w:r>
    </w:p>
    <w:p>
      <w:pPr>
        <w:spacing w:after="0" w:line="176" w:lineRule="exact"/>
        <w:rPr>
          <w:sz w:val="20"/>
          <w:szCs w:val="20"/>
          <w:color w:val="auto"/>
        </w:rPr>
      </w:pPr>
    </w:p>
    <w:p>
      <w:pPr>
        <w:jc w:val="both"/>
        <w:ind w:left="200" w:right="279" w:firstLine="344"/>
        <w:spacing w:after="0" w:line="268" w:lineRule="auto"/>
        <w:rPr>
          <w:sz w:val="20"/>
          <w:szCs w:val="20"/>
          <w:color w:val="auto"/>
        </w:rPr>
      </w:pPr>
      <w:r>
        <w:rPr>
          <w:rFonts w:ascii="Times New Roman" w:cs="Times New Roman" w:eastAsia="Times New Roman" w:hAnsi="Times New Roman"/>
          <w:sz w:val="14"/>
          <w:szCs w:val="14"/>
          <w:color w:val="auto"/>
        </w:rPr>
        <w:t>“Registered Global Security” means a Security evidencing all or a part of a series of Registered Securities, issued to the Depositary or a nominee thereof for such series in accordance with Section 2.4, and bearing the legend prescribed in Section 2.4 and any other legend required by the Depositary for such series.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“Registered Security” means any Security registered on the books of the Registrar.</w:t>
      </w:r>
    </w:p>
    <w:p>
      <w:pPr>
        <w:spacing w:after="0" w:line="176" w:lineRule="exact"/>
        <w:rPr>
          <w:sz w:val="20"/>
          <w:szCs w:val="20"/>
          <w:color w:val="auto"/>
        </w:rPr>
      </w:pPr>
    </w:p>
    <w:p>
      <w:pPr>
        <w:ind w:left="200" w:right="299" w:firstLine="344"/>
        <w:spacing w:after="0" w:line="262" w:lineRule="auto"/>
        <w:rPr>
          <w:sz w:val="20"/>
          <w:szCs w:val="20"/>
          <w:color w:val="auto"/>
        </w:rPr>
      </w:pPr>
      <w:r>
        <w:rPr>
          <w:rFonts w:ascii="Times New Roman" w:cs="Times New Roman" w:eastAsia="Times New Roman" w:hAnsi="Times New Roman"/>
          <w:sz w:val="14"/>
          <w:szCs w:val="14"/>
          <w:color w:val="auto"/>
        </w:rPr>
        <w:t>“Registrar” means the Person designated by the Issuer as “Registrar” for the purpose of registering Securities and transfers of Securities as herein provided, who shall initially be the Trustee. “Registrar” shall also mean or include each Person who is then a registrar hereunder, and, if at any time there is more than one such Person, “Registrar” as used with respect to the Securities of any series shall mean the registrar with respect to the Securities of such series.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“Required Currency” shall have the meaning set forth in Section 11.12.</w:t>
      </w:r>
    </w:p>
    <w:p>
      <w:pPr>
        <w:spacing w:after="0" w:line="176" w:lineRule="exact"/>
        <w:rPr>
          <w:sz w:val="20"/>
          <w:szCs w:val="20"/>
          <w:color w:val="auto"/>
        </w:rPr>
      </w:pPr>
    </w:p>
    <w:p>
      <w:pPr>
        <w:ind w:left="200" w:right="379" w:firstLine="344"/>
        <w:spacing w:after="0" w:line="259" w:lineRule="auto"/>
        <w:rPr>
          <w:sz w:val="20"/>
          <w:szCs w:val="20"/>
          <w:color w:val="auto"/>
        </w:rPr>
      </w:pPr>
      <w:r>
        <w:rPr>
          <w:rFonts w:ascii="Times New Roman" w:cs="Times New Roman" w:eastAsia="Times New Roman" w:hAnsi="Times New Roman"/>
          <w:sz w:val="14"/>
          <w:szCs w:val="14"/>
          <w:color w:val="auto"/>
        </w:rPr>
        <w:t>“Responsible Officer” when used with respect to the Trustee means any vice president (whether or not designated by numbers or words added before or after the title “Vice President”), any assistant vice president, any trust officer, or assistant trust officer,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in each case, who shall have direct responsibility for the administration of this Indenture.</w:t>
      </w:r>
    </w:p>
    <w:p>
      <w:pPr>
        <w:spacing w:after="0" w:line="143" w:lineRule="exact"/>
        <w:rPr>
          <w:sz w:val="20"/>
          <w:szCs w:val="20"/>
          <w:color w:val="auto"/>
        </w:rPr>
      </w:pPr>
    </w:p>
    <w:p>
      <w:pPr>
        <w:ind w:left="200" w:right="319" w:firstLine="344"/>
        <w:spacing w:after="0" w:line="284" w:lineRule="auto"/>
        <w:rPr>
          <w:sz w:val="20"/>
          <w:szCs w:val="20"/>
          <w:color w:val="auto"/>
        </w:rPr>
      </w:pPr>
      <w:r>
        <w:rPr>
          <w:rFonts w:ascii="Times New Roman" w:cs="Times New Roman" w:eastAsia="Times New Roman" w:hAnsi="Times New Roman"/>
          <w:sz w:val="14"/>
          <w:szCs w:val="14"/>
          <w:color w:val="auto"/>
        </w:rPr>
        <w:t>“Security” or “Securities” (except as otherwise provided in Section 7.4) has the meaning stated in the first recital of this Indenture, or, as the case may be, Securities that have been authenticated and delivered under this Indenture.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“Securities Act” means the Securities Act of 1933, as amended.</w:t>
      </w:r>
    </w:p>
    <w:p>
      <w:pPr>
        <w:spacing w:after="0" w:line="176" w:lineRule="exact"/>
        <w:rPr>
          <w:sz w:val="20"/>
          <w:szCs w:val="20"/>
          <w:color w:val="auto"/>
        </w:rPr>
      </w:pPr>
    </w:p>
    <w:p>
      <w:pPr>
        <w:ind w:left="200" w:right="679" w:firstLine="344"/>
        <w:spacing w:after="0" w:line="284" w:lineRule="auto"/>
        <w:rPr>
          <w:sz w:val="20"/>
          <w:szCs w:val="20"/>
          <w:color w:val="auto"/>
        </w:rPr>
      </w:pPr>
      <w:r>
        <w:rPr>
          <w:rFonts w:ascii="Times New Roman" w:cs="Times New Roman" w:eastAsia="Times New Roman" w:hAnsi="Times New Roman"/>
          <w:sz w:val="14"/>
          <w:szCs w:val="14"/>
          <w:color w:val="auto"/>
        </w:rPr>
        <w:t>“Senior Indebtedness,” when used with respect to the Subordinated Securities of any series, shall have the meaning established pursuant to Subsection 2.3(9) with respect to the Subordinated Securities of such series.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“Senior Securities” means Securities other than Subordinated Securities.</w:t>
      </w:r>
    </w:p>
    <w:p>
      <w:pPr>
        <w:spacing w:after="0" w:line="176" w:lineRule="exact"/>
        <w:rPr>
          <w:sz w:val="20"/>
          <w:szCs w:val="20"/>
          <w:color w:val="auto"/>
        </w:rPr>
      </w:pPr>
    </w:p>
    <w:p>
      <w:pPr>
        <w:ind w:left="200" w:right="479" w:firstLine="344"/>
        <w:spacing w:after="0" w:line="284" w:lineRule="auto"/>
        <w:rPr>
          <w:sz w:val="20"/>
          <w:szCs w:val="20"/>
          <w:color w:val="auto"/>
        </w:rPr>
      </w:pPr>
      <w:r>
        <w:rPr>
          <w:rFonts w:ascii="Times New Roman" w:cs="Times New Roman" w:eastAsia="Times New Roman" w:hAnsi="Times New Roman"/>
          <w:sz w:val="14"/>
          <w:szCs w:val="14"/>
          <w:color w:val="auto"/>
        </w:rPr>
        <w:t>“Subordinated Securities” means Securities that by the terms established pursuant to Subsection 2.3(9) are subordinated in right of payment to Senior Indebtedness of the Issuer.</w:t>
      </w:r>
    </w:p>
    <w:p>
      <w:pPr>
        <w:spacing w:after="0" w:line="125" w:lineRule="exact"/>
        <w:rPr>
          <w:sz w:val="20"/>
          <w:szCs w:val="20"/>
          <w:color w:val="auto"/>
        </w:rPr>
      </w:pPr>
    </w:p>
    <w:p>
      <w:pPr>
        <w:ind w:left="200" w:right="379" w:firstLine="344"/>
        <w:spacing w:after="0" w:line="284" w:lineRule="auto"/>
        <w:rPr>
          <w:sz w:val="20"/>
          <w:szCs w:val="20"/>
          <w:color w:val="auto"/>
        </w:rPr>
      </w:pPr>
      <w:r>
        <w:rPr>
          <w:rFonts w:ascii="Times New Roman" w:cs="Times New Roman" w:eastAsia="Times New Roman" w:hAnsi="Times New Roman"/>
          <w:sz w:val="14"/>
          <w:szCs w:val="14"/>
          <w:color w:val="auto"/>
        </w:rPr>
        <w:t>“Subordination Provisions,” when used with respect to the Subordinated Securities of any series, shall have the meaning established pursuant to Subsection 2.3(9) with respect to the Subordinated Securities of such series.</w:t>
      </w:r>
    </w:p>
    <w:p>
      <w:pPr>
        <w:spacing w:after="0" w:line="125" w:lineRule="exact"/>
        <w:rPr>
          <w:sz w:val="20"/>
          <w:szCs w:val="20"/>
          <w:color w:val="auto"/>
        </w:rPr>
      </w:pPr>
    </w:p>
    <w:p>
      <w:pPr>
        <w:ind w:left="200" w:right="259" w:firstLine="344"/>
        <w:spacing w:after="0" w:line="259" w:lineRule="auto"/>
        <w:rPr>
          <w:sz w:val="20"/>
          <w:szCs w:val="20"/>
          <w:color w:val="auto"/>
        </w:rPr>
      </w:pPr>
      <w:r>
        <w:rPr>
          <w:rFonts w:ascii="Times New Roman" w:cs="Times New Roman" w:eastAsia="Times New Roman" w:hAnsi="Times New Roman"/>
          <w:sz w:val="14"/>
          <w:szCs w:val="14"/>
          <w:color w:val="auto"/>
        </w:rPr>
        <w:t>“Subsidiary,” with respect to any Person, means (i) a corporation a majority of whose Voting Equity Interests is at the time, directly or indirectly, owned by such Person, by such Person and one or more Subsidiaries of such Person or by one or more Subsidiaries of such Person, (ii) any other Person (other than a corporation) in which such Person, one or more Subsidiaries of such Person, or such Person and one or more Subsidiaries of such Person, directly or indirectly, at the date of determination thereof has at least majority ownership interest, or (iii) a partnership in which such Person or a Subsidiary of such Person is, at the time, a general partner.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52" w:name="page53"/>
    <w:bookmarkEnd w:id="52"/>
    <w:p>
      <w:pPr>
        <w:ind w:left="200" w:right="279" w:firstLine="34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“Trustee” means the Person identified as “Trustee” in the first paragraph hereof and, subject to the provisions of Article VI, shall also include any successor trustee. “Trustee” shall also mean or include each Person who is then a trustee hereunder, and, if at any time there is more than one such Person, “Trustee” as used with respect to the Securities of any series shall mean the trustee with respect to the Securities of such series.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 Government Obligations” shall have the meaning set forth in Section 10.1(A).</w:t>
      </w:r>
    </w:p>
    <w:p>
      <w:pPr>
        <w:spacing w:after="0" w:line="176" w:lineRule="exact"/>
        <w:rPr>
          <w:sz w:val="20"/>
          <w:szCs w:val="20"/>
          <w:color w:val="auto"/>
        </w:rPr>
      </w:pPr>
    </w:p>
    <w:p>
      <w:pPr>
        <w:ind w:left="200" w:right="399" w:firstLine="344"/>
        <w:spacing w:after="0" w:line="268" w:lineRule="auto"/>
        <w:rPr>
          <w:sz w:val="20"/>
          <w:szCs w:val="20"/>
          <w:color w:val="auto"/>
        </w:rPr>
      </w:pPr>
      <w:r>
        <w:rPr>
          <w:rFonts w:ascii="Times New Roman" w:cs="Times New Roman" w:eastAsia="Times New Roman" w:hAnsi="Times New Roman"/>
          <w:sz w:val="14"/>
          <w:szCs w:val="14"/>
          <w:color w:val="auto"/>
        </w:rPr>
        <w:t>“Voting Equity Interests” means Equity Interests which at the time are entitled to vote in the election of, as applicable, directors, members or partners generally; provided, that, for the purposes hereof, Equity Interests that carry only the right to vote conditionally on the happening of an event shall not be considered Voting Equity Interests whether or not such event shall have happened.</w:t>
      </w:r>
    </w:p>
    <w:p>
      <w:pPr>
        <w:spacing w:after="0" w:line="135" w:lineRule="exact"/>
        <w:rPr>
          <w:sz w:val="20"/>
          <w:szCs w:val="20"/>
          <w:color w:val="auto"/>
        </w:rPr>
      </w:pPr>
    </w:p>
    <w:p>
      <w:pPr>
        <w:ind w:left="200" w:right="399" w:firstLine="344"/>
        <w:spacing w:after="0" w:line="284" w:lineRule="auto"/>
        <w:rPr>
          <w:sz w:val="20"/>
          <w:szCs w:val="20"/>
          <w:color w:val="auto"/>
        </w:rPr>
      </w:pPr>
      <w:r>
        <w:rPr>
          <w:rFonts w:ascii="Times New Roman" w:cs="Times New Roman" w:eastAsia="Times New Roman" w:hAnsi="Times New Roman"/>
          <w:sz w:val="14"/>
          <w:szCs w:val="14"/>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2.1 FORMS GENERALLY</w:t>
      </w:r>
    </w:p>
    <w:p>
      <w:pPr>
        <w:spacing w:after="0" w:line="178" w:lineRule="exact"/>
        <w:rPr>
          <w:sz w:val="20"/>
          <w:szCs w:val="20"/>
          <w:color w:val="auto"/>
        </w:rPr>
      </w:pPr>
    </w:p>
    <w:p>
      <w:pPr>
        <w:ind w:left="200" w:right="279" w:firstLine="344"/>
        <w:spacing w:after="0" w:line="256" w:lineRule="auto"/>
        <w:rPr>
          <w:sz w:val="20"/>
          <w:szCs w:val="20"/>
          <w:color w:val="auto"/>
        </w:rPr>
      </w:pPr>
      <w:r>
        <w:rPr>
          <w:rFonts w:ascii="Times New Roman" w:cs="Times New Roman" w:eastAsia="Times New Roman" w:hAnsi="Times New Roman"/>
          <w:sz w:val="14"/>
          <w:szCs w:val="14"/>
          <w:color w:val="auto"/>
        </w:rPr>
        <w:t>The Securities of each series shall be substantially in such form (not inconsistent with this Indenture) as shall be established by or pursuant to one or more Board Resolutions (as set forth in a Board Resolution or, to the extent established pursuant to but not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47" w:lineRule="exact"/>
        <w:rPr>
          <w:sz w:val="20"/>
          <w:szCs w:val="20"/>
          <w:color w:val="auto"/>
        </w:rPr>
      </w:pPr>
    </w:p>
    <w:p>
      <w:pPr>
        <w:ind w:left="200" w:right="799" w:firstLine="344"/>
        <w:spacing w:after="0" w:line="284" w:lineRule="auto"/>
        <w:rPr>
          <w:sz w:val="20"/>
          <w:szCs w:val="20"/>
          <w:color w:val="auto"/>
        </w:rPr>
      </w:pPr>
      <w:r>
        <w:rPr>
          <w:rFonts w:ascii="Times New Roman" w:cs="Times New Roman" w:eastAsia="Times New Roman" w:hAnsi="Times New Roman"/>
          <w:sz w:val="14"/>
          <w:szCs w:val="14"/>
          <w:color w:val="auto"/>
        </w:rPr>
        <w:t>The definitive Securities shall be printed or produced in any other manner, all as determined by the officers executing such Securities, as evidenced by their execution of such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53" w:name="page54"/>
    <w:bookmarkEnd w:id="53"/>
    <w:p>
      <w:pPr>
        <w:ind w:left="540" w:right="2059" w:firstLine="1499"/>
        <w:spacing w:after="0" w:line="463"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SECTION 2.2 FORM OF TRUSTEE’S CERTIFICATE OF AUTHENTICATION </w:t>
      </w:r>
      <w:r>
        <w:rPr>
          <w:rFonts w:ascii="Times New Roman" w:cs="Times New Roman" w:eastAsia="Times New Roman" w:hAnsi="Times New Roman"/>
          <w:sz w:val="13"/>
          <w:szCs w:val="13"/>
          <w:color w:val="auto"/>
        </w:rPr>
        <w:t>The Trustee’s certificate of authentication on all Securities shall be in substantially the following form:</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“This is one of the Securities referred to in the within-mentioned Indenture.</w:t>
      </w:r>
    </w:p>
    <w:p>
      <w:pPr>
        <w:spacing w:after="0" w:line="1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 ], as Trustee</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Dated: ”</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If at any time there shall be an Authenticating Agent appointed with respect to any series of Securities, then the Trustee’s Certificate of</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Authentication to be borne by the Securities of each such series shall be substantially as follows: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“This is one of the Securities referred to in the within-mentioned Indenture.</w:t>
      </w:r>
    </w:p>
    <w:p>
      <w:pPr>
        <w:spacing w:after="0" w:line="1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Authenticating Agent</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Dated: ”</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2.3 AMOUNT UNLIMITED; ISSUABLE IN SERIES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aggregate principal amount of Securities which may be authenticated and delivered under this Indenture is unlimited.</w:t>
      </w:r>
    </w:p>
    <w:p>
      <w:pPr>
        <w:spacing w:after="0" w:line="176" w:lineRule="exact"/>
        <w:rPr>
          <w:sz w:val="20"/>
          <w:szCs w:val="20"/>
          <w:color w:val="auto"/>
        </w:rPr>
      </w:pPr>
    </w:p>
    <w:p>
      <w:pPr>
        <w:ind w:left="200" w:right="319" w:firstLine="344"/>
        <w:spacing w:after="0" w:line="268" w:lineRule="auto"/>
        <w:rPr>
          <w:sz w:val="20"/>
          <w:szCs w:val="20"/>
          <w:color w:val="auto"/>
        </w:rPr>
      </w:pPr>
      <w:r>
        <w:rPr>
          <w:rFonts w:ascii="Times New Roman" w:cs="Times New Roman" w:eastAsia="Times New Roman" w:hAnsi="Times New Roman"/>
          <w:sz w:val="14"/>
          <w:szCs w:val="14"/>
          <w:color w:val="auto"/>
        </w:rPr>
        <w:t>The Securities may be issued in one or more series. There shall be established in or pursuant to one or more Board Resolutions (and to the extent established pursuant to but not set forth in a Board Resolution, in an Officers’ Certificate detailing such establishment) or established in one or more indentures supplemental hereto, prior to the initial issuance of Securities of any series,</w:t>
      </w:r>
    </w:p>
    <w:p>
      <w:pPr>
        <w:spacing w:after="0" w:line="62" w:lineRule="exact"/>
        <w:rPr>
          <w:sz w:val="20"/>
          <w:szCs w:val="20"/>
          <w:color w:val="auto"/>
        </w:rPr>
      </w:pPr>
    </w:p>
    <w:p>
      <w:pPr>
        <w:ind w:left="960" w:right="599" w:hanging="420"/>
        <w:spacing w:after="0" w:line="284" w:lineRule="auto"/>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Securities of the series, including CUSIP numbers, which shall distinguish the Securities of the series from the Securities of all other series, and which may be part of a series of Securities previously issued;</w:t>
      </w:r>
    </w:p>
    <w:p>
      <w:pPr>
        <w:spacing w:after="0" w:line="51" w:lineRule="exact"/>
        <w:rPr>
          <w:rFonts w:ascii="Times New Roman" w:cs="Times New Roman" w:eastAsia="Times New Roman" w:hAnsi="Times New Roman"/>
          <w:sz w:val="14"/>
          <w:szCs w:val="14"/>
          <w:color w:val="auto"/>
        </w:rPr>
      </w:pPr>
    </w:p>
    <w:p>
      <w:pPr>
        <w:jc w:val="both"/>
        <w:ind w:left="960" w:right="359" w:hanging="420"/>
        <w:spacing w:after="0" w:line="268" w:lineRule="auto"/>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2.8, 2.9, 2.11, 8.5 or 12.3);</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54" w:name="page55"/>
    <w:bookmarkEnd w:id="54"/>
    <w:p>
      <w:pPr>
        <w:ind w:left="960" w:hanging="420"/>
        <w:spacing w:after="0"/>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other than Dollars, the Foreign Currency or Foreign Currencies in which the Securities of the series are denominated;</w:t>
      </w:r>
    </w:p>
    <w:p>
      <w:pPr>
        <w:spacing w:after="0" w:line="102"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 or the method of determination thereof;</w:t>
      </w:r>
    </w:p>
    <w:p>
      <w:pPr>
        <w:spacing w:after="0" w:line="102" w:lineRule="exact"/>
        <w:rPr>
          <w:rFonts w:ascii="Times New Roman" w:cs="Times New Roman" w:eastAsia="Times New Roman" w:hAnsi="Times New Roman"/>
          <w:sz w:val="14"/>
          <w:szCs w:val="14"/>
          <w:color w:val="auto"/>
        </w:rPr>
      </w:pPr>
    </w:p>
    <w:p>
      <w:pPr>
        <w:ind w:left="960" w:right="299" w:hanging="420"/>
        <w:spacing w:after="0" w:line="259"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if any, the date or dates from which such interest shall accrue, on which such interest shall be payable, the terms and conditions of any deferral of interest and the additional interest, if any, thereon, the right, if any, of the Issuer to extend the interest payment periods and the duration of the extensions and the date or dates on which a record shall be taken for the determination of Holders to whom interest is payable and/or the method by which such rate or rates or date or dates shall be determined;</w:t>
      </w:r>
    </w:p>
    <w:p>
      <w:pPr>
        <w:spacing w:after="0" w:line="69" w:lineRule="exact"/>
        <w:rPr>
          <w:rFonts w:ascii="Times New Roman" w:cs="Times New Roman" w:eastAsia="Times New Roman" w:hAnsi="Times New Roman"/>
          <w:sz w:val="14"/>
          <w:szCs w:val="14"/>
          <w:color w:val="auto"/>
        </w:rPr>
      </w:pPr>
    </w:p>
    <w:p>
      <w:pPr>
        <w:ind w:left="960" w:right="459" w:hanging="420"/>
        <w:spacing w:after="0" w:line="284"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and the manner in which, the principal of and any interest on Securities of the series shall be payable, if other than as provided in Section 3.2;</w:t>
      </w:r>
    </w:p>
    <w:p>
      <w:pPr>
        <w:spacing w:after="0" w:line="51" w:lineRule="exact"/>
        <w:rPr>
          <w:rFonts w:ascii="Times New Roman" w:cs="Times New Roman" w:eastAsia="Times New Roman" w:hAnsi="Times New Roman"/>
          <w:sz w:val="14"/>
          <w:szCs w:val="14"/>
          <w:color w:val="auto"/>
        </w:rPr>
      </w:pPr>
    </w:p>
    <w:p>
      <w:pPr>
        <w:ind w:left="960" w:right="379" w:hanging="420"/>
        <w:spacing w:after="0" w:line="268"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of the Issuer to redeem Securities, in whole or in part, at its option and the period or periods within which, or the date or dates on which, the price or prices at which and any terms and conditions upon which Securities of the series may be so redeemed, pursuant to any sinking fund or otherwise;</w:t>
      </w:r>
    </w:p>
    <w:p>
      <w:pPr>
        <w:spacing w:after="0" w:line="61" w:lineRule="exact"/>
        <w:rPr>
          <w:rFonts w:ascii="Times New Roman" w:cs="Times New Roman" w:eastAsia="Times New Roman" w:hAnsi="Times New Roman"/>
          <w:sz w:val="14"/>
          <w:szCs w:val="14"/>
          <w:color w:val="auto"/>
        </w:rPr>
      </w:pPr>
    </w:p>
    <w:p>
      <w:pPr>
        <w:ind w:left="960" w:right="259" w:hanging="420"/>
        <w:spacing w:after="0" w:line="262"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or the date or dates on which, and any terms and conditions upon which Securities of the series shall be redeemed, purchased or repaid, in whole or in part, pursuant to such obligation;</w:t>
      </w:r>
    </w:p>
    <w:p>
      <w:pPr>
        <w:spacing w:after="0" w:line="66" w:lineRule="exact"/>
        <w:rPr>
          <w:rFonts w:ascii="Times New Roman" w:cs="Times New Roman" w:eastAsia="Times New Roman" w:hAnsi="Times New Roman"/>
          <w:sz w:val="14"/>
          <w:szCs w:val="14"/>
          <w:color w:val="auto"/>
        </w:rPr>
      </w:pPr>
    </w:p>
    <w:p>
      <w:pPr>
        <w:ind w:left="960" w:right="319" w:hanging="420"/>
        <w:spacing w:after="0" w:line="256"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such series are Subordinated Securities, the terms pursuant to which the Securities of such series will be made subordinate in right of payment to Senior Indebtedness and the definition of such Senior Indebtedness with respect to such series (in the absence of an express statement to the effect that the Securities of such series are subordinate in right of payment to all such Senior Indebtedness, the Securities of such series shall not be subordinate to Senior Indebtedness and shall not constitute Subordinated Securities); and, in the event that the Securities of such series are Subordinated Securities, such Board Resolution, Officers’ Certificate or supplemental indenture, as the case may be, establishing the terms of such series shall expressly state which articles, sections or other provisions thereof constitute the “Subordination Provisions” with respect to the Securities of such series;</w:t>
      </w:r>
    </w:p>
    <w:p>
      <w:pPr>
        <w:spacing w:after="0" w:line="73" w:lineRule="exact"/>
        <w:rPr>
          <w:rFonts w:ascii="Times New Roman" w:cs="Times New Roman" w:eastAsia="Times New Roman" w:hAnsi="Times New Roman"/>
          <w:sz w:val="14"/>
          <w:szCs w:val="14"/>
          <w:color w:val="auto"/>
        </w:rPr>
      </w:pPr>
    </w:p>
    <w:p>
      <w:pPr>
        <w:ind w:left="960" w:right="359" w:hanging="420"/>
        <w:spacing w:after="0" w:line="284"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any integral multiple of $1,000 in excess thereof, the denominations in which Securities of the series shall be issuable;</w:t>
      </w:r>
    </w:p>
    <w:p>
      <w:pPr>
        <w:spacing w:after="0" w:line="51" w:lineRule="exact"/>
        <w:rPr>
          <w:rFonts w:ascii="Times New Roman" w:cs="Times New Roman" w:eastAsia="Times New Roman" w:hAnsi="Times New Roman"/>
          <w:sz w:val="14"/>
          <w:szCs w:val="14"/>
          <w:color w:val="auto"/>
        </w:rPr>
      </w:pPr>
    </w:p>
    <w:p>
      <w:pPr>
        <w:ind w:left="960" w:right="279" w:hanging="420"/>
        <w:spacing w:after="0" w:line="268"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Securities will be issued, and, if other than the principal amount thereof, the portion of the principal amount of Securities of the series which shall be payable upon declaration of acceleration of the maturity thereof and the terms and conditions of any acceleration;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55" w:name="page56"/>
    <w:bookmarkEnd w:id="55"/>
    <w:p>
      <w:pPr>
        <w:ind w:left="960" w:right="339" w:hanging="420"/>
        <w:spacing w:after="0" w:line="268"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other than the coin, currency or currencies in which the Securities of the series are denominated, the coin, currency or currencies in which payment of the principal of or interest on the Securities of such series shall be payable, including composite currencies or currency units;</w:t>
      </w:r>
    </w:p>
    <w:p>
      <w:pPr>
        <w:spacing w:after="0" w:line="61" w:lineRule="exact"/>
        <w:rPr>
          <w:rFonts w:ascii="Times New Roman" w:cs="Times New Roman" w:eastAsia="Times New Roman" w:hAnsi="Times New Roman"/>
          <w:sz w:val="14"/>
          <w:szCs w:val="14"/>
          <w:color w:val="auto"/>
        </w:rPr>
      </w:pPr>
    </w:p>
    <w:p>
      <w:pPr>
        <w:jc w:val="both"/>
        <w:ind w:left="960" w:right="399" w:hanging="420"/>
        <w:spacing w:after="0" w:line="268"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or interest on the Securities of the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61" w:lineRule="exact"/>
        <w:rPr>
          <w:rFonts w:ascii="Times New Roman" w:cs="Times New Roman" w:eastAsia="Times New Roman" w:hAnsi="Times New Roman"/>
          <w:sz w:val="14"/>
          <w:szCs w:val="14"/>
          <w:color w:val="auto"/>
        </w:rPr>
      </w:pPr>
    </w:p>
    <w:p>
      <w:pPr>
        <w:ind w:left="960" w:right="599" w:hanging="420"/>
        <w:spacing w:after="0" w:line="268"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and interest on the Securities of the series may be determined with reference to an index or formula based on a coin, currency, composite currency or currency unit other than that in which the Securities of the series are denominated, the manner in which such amounts shall be determined;</w:t>
      </w:r>
    </w:p>
    <w:p>
      <w:pPr>
        <w:spacing w:after="0" w:line="61" w:lineRule="exact"/>
        <w:rPr>
          <w:rFonts w:ascii="Times New Roman" w:cs="Times New Roman" w:eastAsia="Times New Roman" w:hAnsi="Times New Roman"/>
          <w:sz w:val="14"/>
          <w:szCs w:val="14"/>
          <w:color w:val="auto"/>
        </w:rPr>
      </w:pPr>
    </w:p>
    <w:p>
      <w:pPr>
        <w:ind w:left="960" w:right="339" w:hanging="420"/>
        <w:spacing w:after="0" w:line="268"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the Securities of the series rather than pay such additional amounts;</w:t>
      </w:r>
    </w:p>
    <w:p>
      <w:pPr>
        <w:spacing w:after="0" w:line="61" w:lineRule="exact"/>
        <w:rPr>
          <w:rFonts w:ascii="Times New Roman" w:cs="Times New Roman" w:eastAsia="Times New Roman" w:hAnsi="Times New Roman"/>
          <w:sz w:val="14"/>
          <w:szCs w:val="14"/>
          <w:color w:val="auto"/>
        </w:rPr>
      </w:pPr>
    </w:p>
    <w:p>
      <w:pPr>
        <w:ind w:left="960" w:right="239" w:hanging="420"/>
        <w:spacing w:after="0" w:line="268"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61" w:lineRule="exact"/>
        <w:rPr>
          <w:rFonts w:ascii="Times New Roman" w:cs="Times New Roman" w:eastAsia="Times New Roman" w:hAnsi="Times New Roman"/>
          <w:sz w:val="14"/>
          <w:szCs w:val="14"/>
          <w:color w:val="auto"/>
        </w:rPr>
      </w:pPr>
    </w:p>
    <w:p>
      <w:pPr>
        <w:ind w:left="960" w:right="299" w:hanging="420"/>
        <w:spacing w:after="0" w:line="284"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depositaries, authenticating or paying agents, transfer agents or registrars of any other agents with respect to the Securities of such series;</w:t>
      </w:r>
    </w:p>
    <w:p>
      <w:pPr>
        <w:spacing w:after="0" w:line="51"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 from, modification of or addition to the Events of Default or covenants with respect to the Securities of such series;</w:t>
      </w:r>
    </w:p>
    <w:p>
      <w:pPr>
        <w:spacing w:after="0" w:line="102" w:lineRule="exact"/>
        <w:rPr>
          <w:rFonts w:ascii="Times New Roman" w:cs="Times New Roman" w:eastAsia="Times New Roman" w:hAnsi="Times New Roman"/>
          <w:sz w:val="14"/>
          <w:szCs w:val="14"/>
          <w:color w:val="auto"/>
        </w:rPr>
      </w:pPr>
    </w:p>
    <w:p>
      <w:pPr>
        <w:ind w:left="960" w:right="339" w:hanging="420"/>
        <w:spacing w:after="0" w:line="284" w:lineRule="auto"/>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the series are to be convertible into or exchangeable for any other security or property of the Issuer, including, without limitation, securities of another Person held by the Issuer or its Affiliates and, if so, the terms thereof; and</w:t>
      </w:r>
    </w:p>
    <w:p>
      <w:pPr>
        <w:spacing w:after="0" w:line="51"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w:t>
      </w:r>
    </w:p>
    <w:p>
      <w:pPr>
        <w:spacing w:after="0" w:line="176" w:lineRule="exact"/>
        <w:rPr>
          <w:sz w:val="20"/>
          <w:szCs w:val="20"/>
          <w:color w:val="auto"/>
        </w:rPr>
      </w:pPr>
    </w:p>
    <w:p>
      <w:pPr>
        <w:ind w:left="200" w:right="239" w:firstLine="344"/>
        <w:spacing w:after="0" w:line="258"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by or pursuant to the Board Resolution or Officers’ Certificate referred to above or as set forth in any indenture supplemental hereto. The Issuer may, without the consent of the Holders, issue additional Securities of the same series in the future ranking equally with, and otherwise similar in all respects to, the Securities of such series, except for any differences in the issue price and, if applicable, the initial interest accrual date and interest payment date; provided that if the additional debt Securities are not fungible with the debt securities of the series previously offered or sold for U.S. federal income tax purposes, the additional debt securities will have a separate CUSIP or other identifying number as the Securities of the applicable series.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56" w:name="page57"/>
    <w:bookmarkEnd w:id="56"/>
    <w:p>
      <w:pPr>
        <w:ind w:left="200" w:right="239" w:firstLine="34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All Securities of any one series need not be issued at the same time and may be issued from time to time without consent of any Holder, consistent with the terms of this Indenture, if so provided by or pursuant to such Board Resolution, such Officers’ Certificate or in any indenture supplemental hereto.</w:t>
      </w:r>
    </w:p>
    <w:p>
      <w:pPr>
        <w:spacing w:after="0" w:line="135" w:lineRule="exact"/>
        <w:rPr>
          <w:sz w:val="20"/>
          <w:szCs w:val="20"/>
          <w:color w:val="auto"/>
        </w:rPr>
      </w:pPr>
    </w:p>
    <w:p>
      <w:pPr>
        <w:jc w:val="both"/>
        <w:ind w:left="200" w:right="299" w:firstLine="344"/>
        <w:spacing w:after="0" w:line="262" w:lineRule="auto"/>
        <w:rPr>
          <w:sz w:val="20"/>
          <w:szCs w:val="20"/>
          <w:color w:val="auto"/>
        </w:rPr>
      </w:pPr>
      <w:r>
        <w:rPr>
          <w:rFonts w:ascii="Times New Roman" w:cs="Times New Roman" w:eastAsia="Times New Roman" w:hAnsi="Times New Roman"/>
          <w:sz w:val="14"/>
          <w:szCs w:val="14"/>
          <w:color w:val="auto"/>
        </w:rPr>
        <w:t>Under the Indenture, the Securities of any series and any additional Securities of such series the Issuer may issue in the future will be treated as a single series for all purposes under the Indenture, including for purposes of determining whether the required percentage of the Holders of record of the Securities of such series has given approval or consent to an amendment or waiver or joined in directing the Trustee to take certain actions on behalf of all Holders of the Securities of such series.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2.4 AUTHENTICATION AND DELIVERY OF SECURITIES</w:t>
      </w:r>
    </w:p>
    <w:p>
      <w:pPr>
        <w:spacing w:after="0" w:line="178" w:lineRule="exact"/>
        <w:rPr>
          <w:sz w:val="20"/>
          <w:szCs w:val="20"/>
          <w:color w:val="auto"/>
        </w:rPr>
      </w:pPr>
    </w:p>
    <w:p>
      <w:pPr>
        <w:ind w:left="200" w:right="219" w:firstLine="344"/>
        <w:spacing w:after="0" w:line="255" w:lineRule="auto"/>
        <w:rPr>
          <w:sz w:val="20"/>
          <w:szCs w:val="20"/>
          <w:color w:val="auto"/>
        </w:rPr>
      </w:pPr>
      <w:r>
        <w:rPr>
          <w:rFonts w:ascii="Times New Roman" w:cs="Times New Roman" w:eastAsia="Times New Roman" w:hAnsi="Times New Roman"/>
          <w:sz w:val="14"/>
          <w:szCs w:val="14"/>
          <w:color w:val="auto"/>
        </w:rPr>
        <w:t>The Issuer may deliver Securities of any series executed by the Issuer to the Trustee for authentication together with the applicable documents referred to below in this Section 2.4, and the Trustee shall thereupon authenticate and deliver such Securities to or upon the written order of the Issuer (contained in the Issuer Order referred to below in this Section) or deliver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Sections 2.1, 2.3 and this Section 2.4. In authenticating such Securities and accepting the additional responsibilities under this Indenture in relation to such Securities, the Trustee shall be provided with (in the case of subparagraphs (2), (3) and (4) below only at or before the time of the first request of the Issuer to the Trustee to authenticate Securities of such series) and (subject to Section 6.1) shall be fully protected in conclusively relying upon, the following enumerated documents unless and until such documents have been superseded or revoked:</w:t>
      </w:r>
    </w:p>
    <w:p>
      <w:pPr>
        <w:spacing w:after="0" w:line="73" w:lineRule="exact"/>
        <w:rPr>
          <w:sz w:val="20"/>
          <w:szCs w:val="20"/>
          <w:color w:val="auto"/>
        </w:rPr>
      </w:pPr>
    </w:p>
    <w:p>
      <w:pPr>
        <w:ind w:left="960" w:right="339" w:hanging="420"/>
        <w:spacing w:after="0" w:line="256"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Issuer Order requesting such authentication and setting forth delivery instructions if the Securities are not to be delivered to the Issuer, provided that, with respect to Securities of a series subject to a Periodic Offering, (a) such Issuer Order may be delivered by the Issuer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established for such series, pursuant to an Issuer Order or pursuant to procedures acceptable to the Trustee as may be specified from time to time by an Issuer Order and (c) the maturity date or dates, original issue date or dates, interest rate or rates and any other terms of Securities of such series shall be determined by an Issuer Order or pursuant to such procedures;</w:t>
      </w:r>
    </w:p>
    <w:p>
      <w:pPr>
        <w:spacing w:after="0" w:line="73" w:lineRule="exact"/>
        <w:rPr>
          <w:rFonts w:ascii="Times New Roman" w:cs="Times New Roman" w:eastAsia="Times New Roman" w:hAnsi="Times New Roman"/>
          <w:sz w:val="14"/>
          <w:szCs w:val="14"/>
          <w:color w:val="auto"/>
        </w:rPr>
      </w:pPr>
    </w:p>
    <w:p>
      <w:pPr>
        <w:ind w:left="960" w:right="419" w:hanging="420"/>
        <w:spacing w:after="0" w:line="284"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Board Resolution, Officers’ Certificate and/or executed supplemental indenture referred to in Sections 2.1 and 2.3 by or pursuant to which the forms and terms of the Securities were established;</w:t>
      </w:r>
    </w:p>
    <w:p>
      <w:pPr>
        <w:spacing w:after="0" w:line="51" w:lineRule="exact"/>
        <w:rPr>
          <w:rFonts w:ascii="Times New Roman" w:cs="Times New Roman" w:eastAsia="Times New Roman" w:hAnsi="Times New Roman"/>
          <w:sz w:val="14"/>
          <w:szCs w:val="14"/>
          <w:color w:val="auto"/>
        </w:rPr>
      </w:pPr>
    </w:p>
    <w:p>
      <w:pPr>
        <w:jc w:val="both"/>
        <w:ind w:left="960" w:right="219" w:hanging="420"/>
        <w:spacing w:after="0" w:line="268"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setting forth the form or forms and terms of the Securities, stating that the form or forms and terms of the Securities have been established pursuant to Sections 2.1 and 2.3 and comply with this Indenture, and covering such other matters as the Trustee may reasonably request; and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57" w:name="page58"/>
    <w:bookmarkEnd w:id="57"/>
    <w:p>
      <w:pPr>
        <w:ind w:left="960" w:right="259" w:hanging="420"/>
        <w:spacing w:after="0" w:line="284"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Either one or more Opinions of Counsel, or, at the option of the Issuer, a letter addressed to the Trustee permitting it to rely on one or more Opinions of Counsel, substantially to the effect that:</w:t>
      </w:r>
    </w:p>
    <w:p>
      <w:pPr>
        <w:spacing w:after="0" w:line="51" w:lineRule="exact"/>
        <w:rPr>
          <w:sz w:val="20"/>
          <w:szCs w:val="20"/>
          <w:color w:val="auto"/>
        </w:rPr>
      </w:pPr>
    </w:p>
    <w:p>
      <w:pPr>
        <w:ind w:left="960" w:hanging="420"/>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Securities have been duly authorized and established in conformity with the provisions of this Indenture;</w:t>
      </w:r>
    </w:p>
    <w:p>
      <w:pPr>
        <w:spacing w:after="0" w:line="102" w:lineRule="exact"/>
        <w:rPr>
          <w:rFonts w:ascii="Times New Roman" w:cs="Times New Roman" w:eastAsia="Times New Roman" w:hAnsi="Times New Roman"/>
          <w:sz w:val="14"/>
          <w:szCs w:val="14"/>
          <w:color w:val="auto"/>
        </w:rPr>
      </w:pPr>
    </w:p>
    <w:p>
      <w:pPr>
        <w:ind w:left="960" w:right="259" w:hanging="420"/>
        <w:spacing w:after="0" w:line="259"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underwritten offering, the terms of the Securities have been duly authorized and established in conformity with the provisions of this Indenture, and, in the case of an offering that is not underwritten, certain terms of the Securities have been established pursuant to a Board Resolution, an Officers’ Certificate or a supplemental indenture in accordance with this Indenture, and when such other terms as are to be established pursuant to procedures set forth in an Issuer Order shall have been established, all such terms will have been duly authorized by the Issuer and will have been established in conformity with the provisions of this Indenture;</w:t>
      </w:r>
    </w:p>
    <w:p>
      <w:pPr>
        <w:spacing w:after="0" w:line="69" w:lineRule="exact"/>
        <w:rPr>
          <w:rFonts w:ascii="Times New Roman" w:cs="Times New Roman" w:eastAsia="Times New Roman" w:hAnsi="Times New Roman"/>
          <w:sz w:val="14"/>
          <w:szCs w:val="14"/>
          <w:color w:val="auto"/>
        </w:rPr>
      </w:pPr>
    </w:p>
    <w:p>
      <w:pPr>
        <w:ind w:left="960" w:right="239" w:hanging="420"/>
        <w:spacing w:after="0" w:line="256"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terms of the Securities have been established pursuant to a supplemental indenture, such supplemental indenture, when executed by the Issuer and the Trustee in accordance with the provisions of this Indenture, and subject to any exemptions, assumptions and qualifications specified in such Opinion of Counsel, will be a valid and binding obligation of the Issuer, enforceable in accordance with its terms except as the enforceability thereof may be limited by (i) bankruptcy, insolvency, reorganization, liquidation, moratorium, fraudulent transfer or similar laws affecting creditors’ rights generally, (ii) rights of acceleration, if any, and (iii) the availability of equitable remedies may be limited by equitable principles of general applicability, and such counsel need express no opinion with regard to the enforceability of Section 6.6 or of a judgment denominated in a currency other than Dollars;</w:t>
      </w:r>
    </w:p>
    <w:p>
      <w:pPr>
        <w:spacing w:after="0" w:line="73" w:lineRule="exact"/>
        <w:rPr>
          <w:rFonts w:ascii="Times New Roman" w:cs="Times New Roman" w:eastAsia="Times New Roman" w:hAnsi="Times New Roman"/>
          <w:sz w:val="14"/>
          <w:szCs w:val="14"/>
          <w:color w:val="auto"/>
        </w:rPr>
      </w:pPr>
    </w:p>
    <w:p>
      <w:pPr>
        <w:ind w:left="960" w:right="279" w:hanging="420"/>
        <w:spacing w:after="0" w:line="255" w:lineRule="auto"/>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Securities, when executed by the Issuer and authenticated by the Trustee in accordance with the provisions of this Indenture and delivered to and duly paid for by the purchasers thereof, and subject to any exemptions, assumptions and qualifications specified in such Opinion of Counsel, will be entitled to the benefits of this Indenture, and will be valid and binding obligations of the Issuer, enforceable in accordance with their respective terms except as the enforceability thereof may be limited by (i) bankruptcy, insolvency, reorganization, liquidation, moratorium, fraudulent transfer or similar laws affecting creditors’ rights generally, (ii) rights of acceleration, if any, and</w:t>
      </w:r>
    </w:p>
    <w:p>
      <w:pPr>
        <w:spacing w:after="0" w:line="2" w:lineRule="exact"/>
        <w:rPr>
          <w:rFonts w:ascii="Times New Roman" w:cs="Times New Roman" w:eastAsia="Times New Roman" w:hAnsi="Times New Roman"/>
          <w:sz w:val="14"/>
          <w:szCs w:val="14"/>
          <w:color w:val="auto"/>
        </w:rPr>
      </w:pPr>
    </w:p>
    <w:p>
      <w:pPr>
        <w:ind w:left="960" w:right="239"/>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the availability of equitable remedies may be limited by equitable principles of general applicability, and such counsel need express no opinion with regard to the enforceability of Section 6.6 or of a judgment denominated in a currency other than Dollars; and</w:t>
      </w:r>
    </w:p>
    <w:p>
      <w:pPr>
        <w:spacing w:after="0" w:line="66"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conditions precedent to the issuance and authorization of the Securities have been complied with.</w:t>
      </w:r>
    </w:p>
    <w:p>
      <w:pPr>
        <w:spacing w:after="0" w:line="176" w:lineRule="exact"/>
        <w:rPr>
          <w:sz w:val="20"/>
          <w:szCs w:val="20"/>
          <w:color w:val="auto"/>
        </w:rPr>
      </w:pPr>
    </w:p>
    <w:p>
      <w:pPr>
        <w:ind w:left="200" w:right="279" w:firstLine="344"/>
        <w:spacing w:after="0" w:line="259" w:lineRule="auto"/>
        <w:rPr>
          <w:sz w:val="20"/>
          <w:szCs w:val="20"/>
          <w:color w:val="auto"/>
        </w:rPr>
      </w:pPr>
      <w:r>
        <w:rPr>
          <w:rFonts w:ascii="Times New Roman" w:cs="Times New Roman" w:eastAsia="Times New Roman" w:hAnsi="Times New Roman"/>
          <w:sz w:val="14"/>
          <w:szCs w:val="14"/>
          <w:color w:val="auto"/>
        </w:rPr>
        <w:t>Any counsel may state that such opinions are limited to matters arising under the laws of the State of New York and the General Corporation Law of the State of Delaware. Such counsel may rely upon opinions of other counsel (copies of which shall be delivered to the Trustee) reasonably satisfactory to the Trustee, in which case the opinion shall state that such counsel believes it and the Trustee are entitled so to rely. Such counsel may also state that, insofar as such opinion involves factual matters, it has relied, to the extent he deems proper, upon certificates of officers of the Issuer and its subsidiaries and certificates of public officials.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58" w:name="page59"/>
    <w:bookmarkEnd w:id="58"/>
    <w:p>
      <w:pPr>
        <w:ind w:left="200" w:right="439" w:firstLine="344"/>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Trustee shall have the right to decline to authenticate and deliver any Securities under this section if the Trustee, being advised by counsel, determines that such action may not lawfully be taken by the Issuer or if the Trustee in good faith shall determine that such action would expose the Trustee to personal liability to existing Holders or would affect the Trustee’s own rights, duties or immunities under the Securities, this Indenture or otherwise.</w:t>
      </w:r>
    </w:p>
    <w:p>
      <w:pPr>
        <w:spacing w:after="0" w:line="140" w:lineRule="exact"/>
        <w:rPr>
          <w:sz w:val="20"/>
          <w:szCs w:val="20"/>
          <w:color w:val="auto"/>
        </w:rPr>
      </w:pPr>
    </w:p>
    <w:p>
      <w:pPr>
        <w:ind w:left="200" w:right="219" w:firstLine="344"/>
        <w:spacing w:after="0" w:line="255" w:lineRule="auto"/>
        <w:rPr>
          <w:sz w:val="20"/>
          <w:szCs w:val="20"/>
          <w:color w:val="auto"/>
        </w:rPr>
      </w:pPr>
      <w:r>
        <w:rPr>
          <w:rFonts w:ascii="Times New Roman" w:cs="Times New Roman" w:eastAsia="Times New Roman" w:hAnsi="Times New Roman"/>
          <w:sz w:val="14"/>
          <w:szCs w:val="14"/>
          <w:color w:val="auto"/>
        </w:rPr>
        <w:t>If the Issuer shall establish pursuant to Section 2.3 that the Securities of a series are to be issued in the form of one or more Registered Global Securities, then the Issuer shall execute and the Trustee shall, in accordance with this Section and the Issuer Order with respect to such series, authenticate and deliver one or more Registered Global Securities that (i) shall represent and shall be denominated in an amount equal to the aggregate principal amount of all of the Securities of such series issued and not yet cancelled, (ii) shall be registered in the name of the Depositary for such Registered Global Security or Securities or the nominee of such Depositary, (iii) shall be delivered by the Trustee to such Depositary or delivered or held pursuant to such Depositary’s instructions and (iv) shall bear a legend substantially to the following effect: “</w:t>
      </w:r>
      <w:r>
        <w:rPr>
          <w:rFonts w:ascii="Times New Roman" w:cs="Times New Roman" w:eastAsia="Times New Roman" w:hAnsi="Times New Roman"/>
          <w:sz w:val="14"/>
          <w:szCs w:val="14"/>
          <w:b w:val="1"/>
          <w:bCs w:val="1"/>
          <w:color w:val="auto"/>
        </w:rPr>
        <w:t>UNLESS AND UNTIL IT IS</w:t>
      </w:r>
    </w:p>
    <w:p>
      <w:pPr>
        <w:ind w:left="200" w:right="359"/>
        <w:spacing w:after="0" w:line="255" w:lineRule="auto"/>
        <w:rPr>
          <w:sz w:val="20"/>
          <w:szCs w:val="20"/>
          <w:color w:val="auto"/>
        </w:rPr>
      </w:pPr>
      <w:r>
        <w:rPr>
          <w:rFonts w:ascii="Times New Roman" w:cs="Times New Roman" w:eastAsia="Times New Roman" w:hAnsi="Times New Roman"/>
          <w:sz w:val="14"/>
          <w:szCs w:val="14"/>
          <w:b w:val="1"/>
          <w:bCs w:val="1"/>
          <w:color w:val="auto"/>
        </w:rPr>
        <w:t>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45" w:lineRule="exact"/>
        <w:rPr>
          <w:sz w:val="20"/>
          <w:szCs w:val="20"/>
          <w:color w:val="auto"/>
        </w:rPr>
      </w:pPr>
    </w:p>
    <w:p>
      <w:pPr>
        <w:ind w:left="200" w:right="279" w:firstLine="344"/>
        <w:spacing w:after="0" w:line="284" w:lineRule="auto"/>
        <w:rPr>
          <w:sz w:val="20"/>
          <w:szCs w:val="20"/>
          <w:color w:val="auto"/>
        </w:rPr>
      </w:pPr>
      <w:r>
        <w:rPr>
          <w:rFonts w:ascii="Times New Roman" w:cs="Times New Roman" w:eastAsia="Times New Roman" w:hAnsi="Times New Roman"/>
          <w:sz w:val="14"/>
          <w:szCs w:val="14"/>
          <w:color w:val="auto"/>
        </w:rPr>
        <w:t>Each Depositary designated pursuant to Section 2.3 must, at the time of its designation and at all times while it serves as Depositary, be a clearing agency registered under the Exchange Act and any other applicable statute or regulation.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2.5 EXECUTION OF SECURITIES</w:t>
      </w:r>
    </w:p>
    <w:p>
      <w:pPr>
        <w:spacing w:after="0" w:line="178" w:lineRule="exact"/>
        <w:rPr>
          <w:sz w:val="20"/>
          <w:szCs w:val="20"/>
          <w:color w:val="auto"/>
        </w:rPr>
      </w:pPr>
    </w:p>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t>The Securities shall be signed on behalf of the Issuer by the chief executive officer or the chief financial officer of the Issuer, which may, but need not, be attested. Such signatures may be the manual or facsimile signatures of the present or any future such officers. Typographical and other minor errors or defects in any such signature shall not affect the validity or enforceability of any Security that has been duly authenticated and delivered by the Trustee.</w:t>
      </w:r>
    </w:p>
    <w:p>
      <w:pPr>
        <w:spacing w:after="0" w:line="140" w:lineRule="exact"/>
        <w:rPr>
          <w:sz w:val="20"/>
          <w:szCs w:val="20"/>
          <w:color w:val="auto"/>
        </w:rPr>
      </w:pPr>
    </w:p>
    <w:p>
      <w:pPr>
        <w:ind w:left="200" w:right="299" w:firstLine="344"/>
        <w:spacing w:after="0" w:line="259" w:lineRule="auto"/>
        <w:rPr>
          <w:sz w:val="20"/>
          <w:szCs w:val="20"/>
          <w:color w:val="auto"/>
        </w:rPr>
      </w:pPr>
      <w:r>
        <w:rPr>
          <w:rFonts w:ascii="Times New Roman" w:cs="Times New Roman" w:eastAsia="Times New Roman" w:hAnsi="Times New Roman"/>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2.6 CERTIFICATE OF AUTHENTICATION</w:t>
      </w:r>
    </w:p>
    <w:p>
      <w:pPr>
        <w:spacing w:after="0" w:line="178" w:lineRule="exact"/>
        <w:rPr>
          <w:sz w:val="20"/>
          <w:szCs w:val="20"/>
          <w:color w:val="auto"/>
        </w:rPr>
      </w:pPr>
    </w:p>
    <w:p>
      <w:pPr>
        <w:jc w:val="both"/>
        <w:ind w:left="200" w:right="299" w:firstLine="344"/>
        <w:spacing w:after="0" w:line="262" w:lineRule="auto"/>
        <w:rPr>
          <w:sz w:val="20"/>
          <w:szCs w:val="20"/>
          <w:color w:val="auto"/>
        </w:rPr>
      </w:pPr>
      <w:r>
        <w:rPr>
          <w:rFonts w:ascii="Times New Roman" w:cs="Times New Roman" w:eastAsia="Times New Roman" w:hAnsi="Times New Roman"/>
          <w:sz w:val="14"/>
          <w:szCs w:val="14"/>
          <w:color w:val="auto"/>
        </w:rPr>
        <w:t>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2.7 DENOMINATION AND DATE OF SECURITIES; PAYMENT OF INTEREST</w:t>
      </w:r>
    </w:p>
    <w:p>
      <w:pPr>
        <w:spacing w:after="0" w:line="178" w:lineRule="exact"/>
        <w:rPr>
          <w:sz w:val="20"/>
          <w:szCs w:val="20"/>
          <w:color w:val="auto"/>
        </w:rPr>
      </w:pPr>
    </w:p>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t>The Securities of each series shall be issuable as Registered Securities in denominations established as contemplated by Section 2.3 or, with respect to the Registered Securities of any series, if not so established, in denominations of $2,000 and any integral multiple of $1,000 in excess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140" w:lineRule="exact"/>
        <w:rPr>
          <w:sz w:val="20"/>
          <w:szCs w:val="20"/>
          <w:color w:val="auto"/>
        </w:rPr>
      </w:pPr>
    </w:p>
    <w:p>
      <w:pPr>
        <w:ind w:left="200" w:right="339" w:firstLine="344"/>
        <w:spacing w:after="0" w:line="284" w:lineRule="auto"/>
        <w:rPr>
          <w:sz w:val="20"/>
          <w:szCs w:val="20"/>
          <w:color w:val="auto"/>
        </w:rPr>
      </w:pPr>
      <w:r>
        <w:rPr>
          <w:rFonts w:ascii="Times New Roman" w:cs="Times New Roman" w:eastAsia="Times New Roman" w:hAnsi="Times New Roman"/>
          <w:sz w:val="14"/>
          <w:szCs w:val="14"/>
          <w:color w:val="auto"/>
        </w:rPr>
        <w:t>Each Security shall be dated the date of its authentication. The Securities of each series shall bear interest, if any, from the date, and such interest shall be payable on the dates, established as contemplated by Section 2.3.</w:t>
      </w:r>
    </w:p>
    <w:p>
      <w:pPr>
        <w:spacing w:after="0" w:line="125" w:lineRule="exact"/>
        <w:rPr>
          <w:sz w:val="20"/>
          <w:szCs w:val="20"/>
          <w:color w:val="auto"/>
        </w:rPr>
      </w:pPr>
    </w:p>
    <w:p>
      <w:pPr>
        <w:ind w:left="200" w:right="219" w:firstLine="344"/>
        <w:spacing w:after="0" w:line="254" w:lineRule="auto"/>
        <w:rPr>
          <w:sz w:val="20"/>
          <w:szCs w:val="20"/>
          <w:color w:val="auto"/>
        </w:rPr>
      </w:pPr>
      <w:r>
        <w:rPr>
          <w:rFonts w:ascii="Times New Roman" w:cs="Times New Roman" w:eastAsia="Times New Roman" w:hAnsi="Times New Roman"/>
          <w:sz w:val="14"/>
          <w:szCs w:val="14"/>
          <w:color w:val="auto"/>
        </w:rPr>
        <w:t>The person in whose name any Registered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Registered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Registered Securities for such series are registered at the close of business on a subsequent record date (which shall be not less than five Business Days prior to the date of payment of such defaulted interest) established by notice sent by or on behalf of the Issuer to the Holders of Registered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Registered Securities of such series established as contemplated by Section 2.3, or, if no such date is so established, if such interest payment date is the first day of a calendar month, the fifteenth day of the preceding calendar month or, if such interest payment date is the fifteenth day of a calendar month, the first day of such calendar month, whether or not such record date is a Business Day.</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2.8 REGISTRATION, TRANSFER AND EXCHANGE</w:t>
      </w:r>
    </w:p>
    <w:p>
      <w:pPr>
        <w:spacing w:after="0" w:line="178" w:lineRule="exact"/>
        <w:rPr>
          <w:sz w:val="20"/>
          <w:szCs w:val="20"/>
          <w:color w:val="auto"/>
        </w:rPr>
      </w:pPr>
    </w:p>
    <w:p>
      <w:pPr>
        <w:ind w:left="200" w:right="299" w:firstLine="344"/>
        <w:spacing w:after="0" w:line="259" w:lineRule="auto"/>
        <w:rPr>
          <w:sz w:val="20"/>
          <w:szCs w:val="20"/>
          <w:color w:val="auto"/>
        </w:rPr>
      </w:pPr>
      <w:r>
        <w:rPr>
          <w:rFonts w:ascii="Times New Roman" w:cs="Times New Roman" w:eastAsia="Times New Roman" w:hAnsi="Times New Roman"/>
          <w:sz w:val="14"/>
          <w:szCs w:val="14"/>
          <w:color w:val="auto"/>
        </w:rPr>
        <w:t>The Issuer will keep at each office or agency to be maintained for the purpose as provided in Section 3.2 for each series of Securities a register or registers in which, subject to such reasonable regulations as the Issuer may prescribe, it will provide for the registration of Registered Securities of such series and the registration of transfer of Registered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60" w:name="page61"/>
    <w:bookmarkEnd w:id="60"/>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Upon due presentation for registration of transfer of any Registered Security of any series at any such office or agency to be maintained for the purpose as provided in Section 3.2, the Issuer shall execute and the Trustee shall authenticate and deliver in the name of the transferee or transferees a new Registered Security or Registered Securities of the same series, maturity date, interest rate and original issue date in authorized denominations for a like aggregate principal amount.</w:t>
      </w:r>
    </w:p>
    <w:p>
      <w:pPr>
        <w:spacing w:after="0" w:line="140" w:lineRule="exact"/>
        <w:rPr>
          <w:sz w:val="20"/>
          <w:szCs w:val="20"/>
          <w:color w:val="auto"/>
        </w:rPr>
      </w:pPr>
    </w:p>
    <w:p>
      <w:pPr>
        <w:ind w:left="200" w:right="259" w:firstLine="344"/>
        <w:spacing w:after="0" w:line="256" w:lineRule="auto"/>
        <w:rPr>
          <w:sz w:val="20"/>
          <w:szCs w:val="20"/>
          <w:color w:val="auto"/>
        </w:rPr>
      </w:pPr>
      <w:r>
        <w:rPr>
          <w:rFonts w:ascii="Times New Roman" w:cs="Times New Roman" w:eastAsia="Times New Roman" w:hAnsi="Times New Roman"/>
          <w:sz w:val="14"/>
          <w:szCs w:val="14"/>
          <w:color w:val="auto"/>
        </w:rPr>
        <w:t>At the option of the Holder thereof, Registered Securities of any series (other than a Registered Global Security, except as set forth below) may be exchanged for a Registered Security or Registered Securities of such series having authorized denominations and an equal aggregate principal amount, upon surrender of such Registered Securities to be exchanged at the agency of the Issuer that shall be maintained for such purpose in accordance with Section 3.2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in accordance with its regular procedures, and, upon the written request of any officer of the Issuer, the Trustee shall deliver a certificate of cancellation and disposition thereof to the Issuer.</w:t>
      </w:r>
    </w:p>
    <w:p>
      <w:pPr>
        <w:spacing w:after="0" w:line="144" w:lineRule="exact"/>
        <w:rPr>
          <w:sz w:val="20"/>
          <w:szCs w:val="20"/>
          <w:color w:val="auto"/>
        </w:rPr>
      </w:pPr>
    </w:p>
    <w:p>
      <w:pPr>
        <w:jc w:val="both"/>
        <w:ind w:left="200" w:right="239" w:firstLine="344"/>
        <w:spacing w:after="0" w:line="268" w:lineRule="auto"/>
        <w:rPr>
          <w:sz w:val="20"/>
          <w:szCs w:val="20"/>
          <w:color w:val="auto"/>
        </w:rPr>
      </w:pPr>
      <w:r>
        <w:rPr>
          <w:rFonts w:ascii="Times New Roman" w:cs="Times New Roman" w:eastAsia="Times New Roman" w:hAnsi="Times New Roman"/>
          <w:sz w:val="14"/>
          <w:szCs w:val="14"/>
          <w:color w:val="auto"/>
        </w:rPr>
        <w:t>All Registered Securities presented for registration of transfer, exchange, redemption or payment shall (if so required by the Issuer or the Trustee) be duly endorsed, or be accompanied by a written instrument or instruments of transfer in form reasonably satisfactory to the Issuer and the Trustee duly executed, by the Holder or his attorney duly authorized in writing.</w:t>
      </w:r>
    </w:p>
    <w:p>
      <w:pPr>
        <w:spacing w:after="0" w:line="135" w:lineRule="exact"/>
        <w:rPr>
          <w:sz w:val="20"/>
          <w:szCs w:val="20"/>
          <w:color w:val="auto"/>
        </w:rPr>
      </w:pPr>
    </w:p>
    <w:p>
      <w:pPr>
        <w:ind w:left="200" w:right="699" w:firstLine="344"/>
        <w:spacing w:after="0" w:line="284" w:lineRule="auto"/>
        <w:rPr>
          <w:sz w:val="20"/>
          <w:szCs w:val="20"/>
          <w:color w:val="auto"/>
        </w:rPr>
      </w:pPr>
      <w:r>
        <w:rPr>
          <w:rFonts w:ascii="Times New Roman" w:cs="Times New Roman" w:eastAsia="Times New Roman" w:hAnsi="Times New Roman"/>
          <w:sz w:val="14"/>
          <w:szCs w:val="14"/>
          <w:color w:val="auto"/>
        </w:rPr>
        <w:t>The Issuer or the Registrar may require payment of a sum sufficient to cover any tax or other governmental charge that may be imposed in connection with any exchange or registration of transfer of Securities. No service charge shall be made for any such transaction.</w:t>
      </w:r>
    </w:p>
    <w:p>
      <w:pPr>
        <w:spacing w:after="0" w:line="125" w:lineRule="exact"/>
        <w:rPr>
          <w:sz w:val="20"/>
          <w:szCs w:val="20"/>
          <w:color w:val="auto"/>
        </w:rPr>
      </w:pPr>
    </w:p>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t>Neither the Issuer nor the Registrar shall be required to exchange or register a transfer of (a) any Securities of any series for a period of 15 days preceding the first sending of notice of redemption of Securities of such series to be redeemed and ending at the close of business on the day such notice of redemption is sent or (b) any Securities selected, called or being called for redemption, in whole or in part, except, in the case of any Security to be redeemed in part, the portion thereof not so to be redeemed.</w:t>
      </w:r>
    </w:p>
    <w:p>
      <w:pPr>
        <w:spacing w:after="0" w:line="140" w:lineRule="exact"/>
        <w:rPr>
          <w:sz w:val="20"/>
          <w:szCs w:val="20"/>
          <w:color w:val="auto"/>
        </w:rPr>
      </w:pPr>
    </w:p>
    <w:p>
      <w:pPr>
        <w:ind w:left="200" w:right="279" w:firstLine="344"/>
        <w:spacing w:after="0" w:line="262" w:lineRule="auto"/>
        <w:rPr>
          <w:sz w:val="20"/>
          <w:szCs w:val="20"/>
          <w:color w:val="auto"/>
        </w:rPr>
      </w:pPr>
      <w:r>
        <w:rPr>
          <w:rFonts w:ascii="Times New Roman" w:cs="Times New Roman" w:eastAsia="Times New Roman" w:hAnsi="Times New Roman"/>
          <w:sz w:val="14"/>
          <w:szCs w:val="14"/>
          <w:color w:val="auto"/>
        </w:rPr>
        <w:t>Notwithstanding any other provision of this Section 2.8, except for exchanges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61" w:name="page62"/>
    <w:bookmarkEnd w:id="61"/>
    <w:p>
      <w:pPr>
        <w:ind w:left="200" w:right="239" w:firstLine="344"/>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at any time the Depositary for any Registered Securities of a series represented by one or more Registered Global Securities notifies the Issuer that it is unwilling or unable to continue as Depositary for such Registered Securities or if at any time the Depositary for such Registered Securities shall no longer be eligible under Section 2.4, the Issuer shall appoint a successor Depositary eligible under Section 2.4 with respect to such Registered Securities. If a successor Depositary eligible under Section 2.4 for such Registered Securities is not appointed by the Issuer within 90 days after the Issuer receives such notice or becomes aware of such ineligibility, the Issuer’s election pursuant to Section 2.3 that such Registered Securities be represented by one or more Registered Global Securities shall no longer be effective and the 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Registered Securities in exchange for such Registered Global Security or Securities.</w:t>
      </w:r>
    </w:p>
    <w:p>
      <w:pPr>
        <w:spacing w:after="0" w:line="147" w:lineRule="exact"/>
        <w:rPr>
          <w:sz w:val="20"/>
          <w:szCs w:val="20"/>
          <w:color w:val="auto"/>
        </w:rPr>
      </w:pPr>
    </w:p>
    <w:p>
      <w:pPr>
        <w:ind w:left="200" w:right="299" w:firstLine="344"/>
        <w:spacing w:after="0" w:line="258" w:lineRule="auto"/>
        <w:rPr>
          <w:sz w:val="20"/>
          <w:szCs w:val="20"/>
          <w:color w:val="auto"/>
        </w:rPr>
      </w:pPr>
      <w:r>
        <w:rPr>
          <w:rFonts w:ascii="Times New Roman" w:cs="Times New Roman" w:eastAsia="Times New Roman" w:hAnsi="Times New Roman"/>
          <w:sz w:val="14"/>
          <w:szCs w:val="14"/>
          <w:color w:val="auto"/>
        </w:rPr>
        <w:t>The Issuer may at any time and in its sole discretion determine that the Registered Securities of any series issued in the form of one or more Registered Global Securities shall no longer be represented by a Registered Global Security or Securities. In such event the Issuer will execute, and the Trustee, upon receipt of any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Registered Securities, in exchange for such Registered Global Security or Securities.</w:t>
      </w:r>
    </w:p>
    <w:p>
      <w:pPr>
        <w:spacing w:after="0" w:line="142" w:lineRule="exact"/>
        <w:rPr>
          <w:sz w:val="20"/>
          <w:szCs w:val="20"/>
          <w:color w:val="auto"/>
        </w:rPr>
      </w:pPr>
    </w:p>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t>If specified by the Issuer pursuant to Section 2.3 with respect to Securities represented by a Registered Global Security, the Depositary for such Registered Global Security may surrender such Registered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67" w:lineRule="exact"/>
        <w:rPr>
          <w:sz w:val="20"/>
          <w:szCs w:val="20"/>
          <w:color w:val="auto"/>
        </w:rPr>
      </w:pPr>
    </w:p>
    <w:p>
      <w:pPr>
        <w:ind w:left="1320" w:right="319" w:hanging="347"/>
        <w:spacing w:after="0" w:line="268" w:lineRule="auto"/>
        <w:tabs>
          <w:tab w:leader="none" w:pos="1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Person specified by such Depositary a new Registered Security or Securities of the same series, of any authorized denominations as requested by such Person, in an aggregate principal amount equal to and in exchange for such Person’s beneficial interest in the Registered Global Security; and</w:t>
      </w:r>
    </w:p>
    <w:p>
      <w:pPr>
        <w:spacing w:after="0" w:line="61" w:lineRule="exact"/>
        <w:rPr>
          <w:rFonts w:ascii="Times New Roman" w:cs="Times New Roman" w:eastAsia="Times New Roman" w:hAnsi="Times New Roman"/>
          <w:sz w:val="14"/>
          <w:szCs w:val="14"/>
          <w:color w:val="auto"/>
        </w:rPr>
      </w:pPr>
    </w:p>
    <w:p>
      <w:pPr>
        <w:ind w:left="1320" w:right="259" w:hanging="347"/>
        <w:spacing w:after="0" w:line="268" w:lineRule="auto"/>
        <w:tabs>
          <w:tab w:leader="none" w:pos="1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spacing w:after="0" w:line="135" w:lineRule="exact"/>
        <w:rPr>
          <w:sz w:val="20"/>
          <w:szCs w:val="20"/>
          <w:color w:val="auto"/>
        </w:rPr>
      </w:pPr>
    </w:p>
    <w:p>
      <w:pPr>
        <w:ind w:left="200" w:right="239" w:firstLine="344"/>
        <w:spacing w:after="0" w:line="258" w:lineRule="auto"/>
        <w:rPr>
          <w:sz w:val="20"/>
          <w:szCs w:val="20"/>
          <w:color w:val="auto"/>
        </w:rPr>
      </w:pPr>
      <w:r>
        <w:rPr>
          <w:rFonts w:ascii="Times New Roman" w:cs="Times New Roman" w:eastAsia="Times New Roman" w:hAnsi="Times New Roman"/>
          <w:sz w:val="14"/>
          <w:szCs w:val="14"/>
          <w:color w:val="auto"/>
        </w:rPr>
        <w:t>Upon the exchange of a Registered Global Security for Securities in definitive registered form without coupons, in authorized denominations, such Registered Global Security shall be cancelled by the Trustee or an agent of the Issuer or the Trustee. Securities in definitive registered form without coupons issued in exchange for a Registered Global Security pursuant to this Section 2.8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62" w:name="page63"/>
    <w:bookmarkEnd w:id="62"/>
    <w:p>
      <w:pPr>
        <w:ind w:left="200" w:right="299" w:firstLine="34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25" w:lineRule="exact"/>
        <w:rPr>
          <w:sz w:val="20"/>
          <w:szCs w:val="20"/>
          <w:color w:val="auto"/>
        </w:rPr>
      </w:pPr>
    </w:p>
    <w:p>
      <w:pPr>
        <w:ind w:left="200" w:right="499" w:firstLine="344"/>
        <w:spacing w:after="0" w:line="268" w:lineRule="auto"/>
        <w:rPr>
          <w:sz w:val="20"/>
          <w:szCs w:val="20"/>
          <w:color w:val="auto"/>
        </w:rPr>
      </w:pPr>
      <w:r>
        <w:rPr>
          <w:rFonts w:ascii="Times New Roman" w:cs="Times New Roman" w:eastAsia="Times New Roman" w:hAnsi="Times New Roman"/>
          <w:sz w:val="14"/>
          <w:szCs w:val="14"/>
          <w:color w:val="auto"/>
        </w:rPr>
        <w:t>Neither the Issuer nor the Trustee shall have any responsibility for any actions taken or not taken by the Depositary. All Securities issued in definitive registered form, as described herein, shall be in “registered form” for purposes of Section 163(f) of the Internal Revenue Code of 1986, as amended.</w:t>
      </w:r>
    </w:p>
    <w:p>
      <w:pPr>
        <w:spacing w:after="0" w:line="135" w:lineRule="exact"/>
        <w:rPr>
          <w:sz w:val="20"/>
          <w:szCs w:val="20"/>
          <w:color w:val="auto"/>
        </w:rPr>
      </w:pPr>
    </w:p>
    <w:p>
      <w:pPr>
        <w:ind w:left="200" w:right="239" w:firstLine="344"/>
        <w:spacing w:after="0" w:line="259"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Registered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Neither the Trustee nor any Agent shall have any responsibility for any actions taken or not taken by the Depository.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2.9 MUTILATED, DEFACED, DESTROYED, LOST AND STOLEN SECURITIES</w:t>
      </w:r>
    </w:p>
    <w:p>
      <w:pPr>
        <w:spacing w:after="0" w:line="178" w:lineRule="exact"/>
        <w:rPr>
          <w:sz w:val="20"/>
          <w:szCs w:val="20"/>
          <w:color w:val="auto"/>
        </w:rPr>
      </w:pPr>
    </w:p>
    <w:p>
      <w:pPr>
        <w:ind w:left="200" w:right="319" w:firstLine="344"/>
        <w:spacing w:after="0" w:line="256" w:lineRule="auto"/>
        <w:rPr>
          <w:sz w:val="20"/>
          <w:szCs w:val="20"/>
          <w:color w:val="auto"/>
        </w:rPr>
      </w:pPr>
      <w:r>
        <w:rPr>
          <w:rFonts w:ascii="Times New Roman" w:cs="Times New Roman" w:eastAsia="Times New Roman" w:hAnsi="Times New Roman"/>
          <w:sz w:val="14"/>
          <w:szCs w:val="14"/>
          <w:color w:val="auto"/>
        </w:rPr>
        <w:t>In case any temporary or definitive Security shall be mutilated, defaced,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in substitution for the Security so destroyed, lost or stolen. In every case, the applicant for a substitute Security shall furnish to the Issuer and to the Trustee and any agent of the Issuer or the Trustee such security or indemnity as required by them to indemnify and defend and to save each of them harmless and, in every case of destruction, loss or theft, evidence to their reasonable satisfaction of the destruction, loss or theft of such Security and of the ownership thereof, and in the case of mutilation or defacement shall surrender the Security to the Trustee or such agent.</w:t>
      </w:r>
    </w:p>
    <w:p>
      <w:pPr>
        <w:spacing w:after="0" w:line="144" w:lineRule="exact"/>
        <w:rPr>
          <w:sz w:val="20"/>
          <w:szCs w:val="20"/>
          <w:color w:val="auto"/>
        </w:rPr>
      </w:pPr>
    </w:p>
    <w:p>
      <w:pPr>
        <w:ind w:left="200" w:right="379" w:firstLine="344"/>
        <w:spacing w:after="0" w:line="256" w:lineRule="auto"/>
        <w:rPr>
          <w:sz w:val="20"/>
          <w:szCs w:val="20"/>
          <w:color w:val="auto"/>
        </w:rPr>
      </w:pPr>
      <w:r>
        <w:rPr>
          <w:rFonts w:ascii="Times New Roman" w:cs="Times New Roman" w:eastAsia="Times New Roman" w:hAnsi="Times New Roman"/>
          <w:sz w:val="14"/>
          <w:szCs w:val="14"/>
          <w:color w:val="auto"/>
        </w:rPr>
        <w:t>Upon the issuance of any substitute Security, the Issuer or the Registrar may require the payment of a sum sufficient to cover any tax or other governmental charge that may be imposed in relation thereto and any other expenses (including the fees and expenses of the Trustee) or its agent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reasonable satisfaction of the destruction, loss or theft of such Security and of the ownership thereof.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63" w:name="page64"/>
    <w:bookmarkEnd w:id="63"/>
    <w:p>
      <w:pPr>
        <w:ind w:left="200" w:right="359" w:firstLine="344"/>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2.10 CANCELLATION OF SECURITIES; DISPOSAL THEREOF</w:t>
      </w:r>
    </w:p>
    <w:p>
      <w:pPr>
        <w:spacing w:after="0" w:line="178" w:lineRule="exact"/>
        <w:rPr>
          <w:sz w:val="20"/>
          <w:szCs w:val="20"/>
          <w:color w:val="auto"/>
        </w:rPr>
      </w:pPr>
    </w:p>
    <w:p>
      <w:pPr>
        <w:ind w:left="200" w:right="219" w:firstLine="344"/>
        <w:spacing w:after="0" w:line="256" w:lineRule="auto"/>
        <w:rPr>
          <w:sz w:val="20"/>
          <w:szCs w:val="20"/>
          <w:color w:val="auto"/>
        </w:rPr>
      </w:pPr>
      <w:r>
        <w:rPr>
          <w:rFonts w:ascii="Times New Roman" w:cs="Times New Roman" w:eastAsia="Times New Roman" w:hAnsi="Times New Roman"/>
          <w:sz w:val="14"/>
          <w:szCs w:val="14"/>
          <w:color w:val="auto"/>
        </w:rPr>
        <w:t>All Securities surrendered for payment, redemption, registration of transfer or exchange, or for credit against any payment in respect of a sinking or analogous fund, if any, if surrendered to the Issuer or any agent of the Issuer or the Trustee or any agent of the Trustee, shall be delivered to the Trustee or its agent for cancellation or, if surrendered to the Trustee, shall be cancelled by it; and no Securities shall be issued in lieu thereof except as expressly permitted by any of the provisions of this Indenture. The Trustee or its agent shall dispose of cancelled Securities held by it in accordance with its regular procedures and deliver a certificate of disposition to the Issuer upon the Issuer’s request in writing. If the Issuer or its agent shall acquire any of the Securities, such acquisition shall not operate as a redemption or satisfaction of the indebtedness represented by such Securities unless and until the same are delivered to the Trustee or its agent for cancellation.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2.11 TEMPORARY SECURITIES</w:t>
      </w:r>
    </w:p>
    <w:p>
      <w:pPr>
        <w:spacing w:after="0" w:line="178" w:lineRule="exact"/>
        <w:rPr>
          <w:sz w:val="20"/>
          <w:szCs w:val="20"/>
          <w:color w:val="auto"/>
        </w:rPr>
      </w:pPr>
    </w:p>
    <w:p>
      <w:pPr>
        <w:ind w:left="200" w:right="299" w:firstLine="344"/>
        <w:spacing w:after="0" w:line="254" w:lineRule="auto"/>
        <w:rPr>
          <w:sz w:val="20"/>
          <w:szCs w:val="20"/>
          <w:color w:val="auto"/>
        </w:rPr>
      </w:pPr>
      <w:r>
        <w:rPr>
          <w:rFonts w:ascii="Times New Roman" w:cs="Times New Roman" w:eastAsia="Times New Roman" w:hAnsi="Times New Roman"/>
          <w:sz w:val="14"/>
          <w:szCs w:val="14"/>
          <w:color w:val="auto"/>
        </w:rPr>
        <w:t>Pending the preparation of definitive Securities for any series, the Issuer may execute and the Trustee shall authenticate and deliver temporary Securities for such series (printed, lithographed, typewritten or otherwise reproduced, in each case in form reasonably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references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Registered Securities of such series may be surrendered in exchange therefor without charge at each office or agency to be maintained by the Issuer for that purpose pursuant to Section 3.2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otherwise established pursuant to Section 2.3.</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2.12 CUSIP NUMBERS</w:t>
      </w:r>
    </w:p>
    <w:p>
      <w:pPr>
        <w:spacing w:after="0" w:line="178" w:lineRule="exact"/>
        <w:rPr>
          <w:sz w:val="20"/>
          <w:szCs w:val="20"/>
          <w:color w:val="auto"/>
        </w:rPr>
      </w:pPr>
    </w:p>
    <w:p>
      <w:pPr>
        <w:ind w:left="200" w:right="219" w:firstLine="344"/>
        <w:spacing w:after="0" w:line="259" w:lineRule="auto"/>
        <w:rPr>
          <w:sz w:val="20"/>
          <w:szCs w:val="20"/>
          <w:color w:val="auto"/>
        </w:rPr>
      </w:pPr>
      <w:r>
        <w:rPr>
          <w:rFonts w:ascii="Times New Roman" w:cs="Times New Roman" w:eastAsia="Times New Roman" w:hAnsi="Times New Roman"/>
          <w:sz w:val="14"/>
          <w:szCs w:val="14"/>
          <w:color w:val="auto"/>
        </w:rPr>
        <w:t>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 OF THE ISSUER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3.1 PAYMENT OF PRINCIPAL AND INTEREST</w:t>
      </w:r>
    </w:p>
    <w:p>
      <w:pPr>
        <w:spacing w:after="0" w:line="178" w:lineRule="exact"/>
        <w:rPr>
          <w:sz w:val="20"/>
          <w:szCs w:val="20"/>
          <w:color w:val="auto"/>
        </w:rPr>
      </w:pPr>
    </w:p>
    <w:p>
      <w:pPr>
        <w:ind w:left="200" w:right="239" w:firstLine="344"/>
        <w:spacing w:after="0" w:line="258" w:lineRule="auto"/>
        <w:rPr>
          <w:sz w:val="20"/>
          <w:szCs w:val="20"/>
          <w:color w:val="auto"/>
        </w:rPr>
      </w:pPr>
      <w:r>
        <w:rPr>
          <w:rFonts w:ascii="Times New Roman" w:cs="Times New Roman" w:eastAsia="Times New Roman" w:hAnsi="Times New Roman"/>
          <w:sz w:val="14"/>
          <w:szCs w:val="14"/>
          <w:color w:val="auto"/>
        </w:rPr>
        <w:t>The Issuer covenants and agrees for the benefit of each series of Securities that it will duly and punctually pay or cause to be paid the principal of, and interest on, if any, each of the Securities of such series (together with any additional amounts payable pursuant to the terms of such Securities) at the place or places, at the respective time or times and in the manner provided in such Securities and in this Indenture. The interest, if any, on Registered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Securities register of the Issuer.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3.2 OFFICES FOR PAYMENTS, ETC</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So long as any Registered Securities are authorized for issuance pursuant to this Indenture or are outstanding hereunder, the Issuer will maintain in</w:t>
      </w:r>
    </w:p>
    <w:p>
      <w:pPr>
        <w:spacing w:after="0" w:line="22" w:lineRule="exact"/>
        <w:rPr>
          <w:sz w:val="20"/>
          <w:szCs w:val="20"/>
          <w:color w:val="auto"/>
        </w:rPr>
      </w:pPr>
    </w:p>
    <w:p>
      <w:pPr>
        <w:ind w:left="200" w:right="239" w:firstLine="3"/>
        <w:spacing w:after="0" w:line="257" w:lineRule="auto"/>
        <w:tabs>
          <w:tab w:leader="none" w:pos="28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 office or agency where the Registered Securities of each series may be presented for payment, where the Securities of each series may be presented for exchange as is provided in this Indenture and, if applicable, pursuant to Section 2.3 and where the Registered Securities of each series may be presented for registration of transfer as in this Indenture provided.</w:t>
      </w:r>
    </w:p>
    <w:p>
      <w:pPr>
        <w:spacing w:after="0" w:line="143" w:lineRule="exact"/>
        <w:rPr>
          <w:sz w:val="20"/>
          <w:szCs w:val="20"/>
          <w:color w:val="auto"/>
        </w:rPr>
      </w:pPr>
    </w:p>
    <w:p>
      <w:pPr>
        <w:jc w:val="both"/>
        <w:ind w:left="200" w:right="359" w:firstLine="344"/>
        <w:spacing w:after="0" w:line="268" w:lineRule="auto"/>
        <w:rPr>
          <w:sz w:val="20"/>
          <w:szCs w:val="20"/>
          <w:color w:val="auto"/>
        </w:rPr>
      </w:pPr>
      <w:r>
        <w:rPr>
          <w:rFonts w:ascii="Times New Roman" w:cs="Times New Roman" w:eastAsia="Times New Roman" w:hAnsi="Times New Roman"/>
          <w:sz w:val="14"/>
          <w:szCs w:val="14"/>
          <w:color w:val="auto"/>
        </w:rPr>
        <w:t>The Issuer will give to the Trustee written notice of the location of each such office or agency and of any change of location thereof. In case the Issuer shall fail to maintain any agency required by this Section to be located in [ ], or shall fail to give such notice of the location or for any change in the location of any of the above agencies, presentations and demands may be made and notices may be served at the designated office of the Trustee.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65" w:name="page66"/>
    <w:bookmarkEnd w:id="65"/>
    <w:p>
      <w:pPr>
        <w:ind w:left="200" w:right="279" w:firstLine="344"/>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Issuer may from time to time designate one or more additional offices or agencies in the continental United States where the Securities of a series may be presented for payment, where the Securities of that series may be presented for exchange as provided in this Indenture and pursuant to Section 2.3 and where the Registered Securities of that series may be presented for registration of transfer as in this Indenture provided, and the Issuer may from time to time rescind any such designation, as the Issuer may deem desirable or expedient; provided, that no such designation or rescission shall in any manner relieve the Issuer of its obligations to maintain the agencies provided for in this Section. The Issuer shall give to the Trustee prompt written notice of any such designation or rescission thereof.</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3.3 APPOINTMENT TO FILL A VACANCY IN OFFICE OF TRUSTEE</w:t>
      </w:r>
    </w:p>
    <w:p>
      <w:pPr>
        <w:spacing w:after="0" w:line="178" w:lineRule="exact"/>
        <w:rPr>
          <w:sz w:val="20"/>
          <w:szCs w:val="20"/>
          <w:color w:val="auto"/>
        </w:rPr>
      </w:pPr>
    </w:p>
    <w:p>
      <w:pPr>
        <w:ind w:left="200" w:right="319" w:firstLine="344"/>
        <w:spacing w:after="0" w:line="284" w:lineRule="auto"/>
        <w:rPr>
          <w:sz w:val="20"/>
          <w:szCs w:val="20"/>
          <w:color w:val="auto"/>
        </w:rPr>
      </w:pPr>
      <w:r>
        <w:rPr>
          <w:rFonts w:ascii="Times New Roman" w:cs="Times New Roman" w:eastAsia="Times New Roman" w:hAnsi="Times New Roman"/>
          <w:sz w:val="14"/>
          <w:szCs w:val="14"/>
          <w:color w:val="auto"/>
        </w:rPr>
        <w:t>The Issuer, whenever necessary to avoid or fill a vacancy in the office of Trustee, will appoint, in the manner provided in Section 6.10, a Trustee, so that there shall at all times be a Trustee with respect to each series of Securities hereunder.</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3.4 PAYING AGENTS</w:t>
      </w:r>
    </w:p>
    <w:p>
      <w:pPr>
        <w:spacing w:after="0" w:line="178" w:lineRule="exact"/>
        <w:rPr>
          <w:sz w:val="20"/>
          <w:szCs w:val="20"/>
          <w:color w:val="auto"/>
        </w:rPr>
      </w:pPr>
    </w:p>
    <w:p>
      <w:pPr>
        <w:ind w:left="200" w:right="239" w:firstLine="344"/>
        <w:spacing w:after="0" w:line="284" w:lineRule="auto"/>
        <w:rPr>
          <w:sz w:val="20"/>
          <w:szCs w:val="20"/>
          <w:color w:val="auto"/>
        </w:rPr>
      </w:pPr>
      <w:r>
        <w:rPr>
          <w:rFonts w:ascii="Times New Roman" w:cs="Times New Roman" w:eastAsia="Times New Roman" w:hAnsi="Times New Roman"/>
          <w:sz w:val="14"/>
          <w:szCs w:val="14"/>
          <w:color w:val="auto"/>
        </w:rPr>
        <w:t>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51" w:lineRule="exact"/>
        <w:rPr>
          <w:sz w:val="20"/>
          <w:szCs w:val="20"/>
          <w:color w:val="auto"/>
        </w:rPr>
      </w:pPr>
    </w:p>
    <w:p>
      <w:pPr>
        <w:ind w:left="960" w:right="239" w:hanging="420"/>
        <w:spacing w:after="0" w:line="268"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61" w:lineRule="exact"/>
        <w:rPr>
          <w:rFonts w:ascii="Times New Roman" w:cs="Times New Roman" w:eastAsia="Times New Roman" w:hAnsi="Times New Roman"/>
          <w:sz w:val="14"/>
          <w:szCs w:val="14"/>
          <w:color w:val="auto"/>
        </w:rPr>
      </w:pPr>
    </w:p>
    <w:p>
      <w:pPr>
        <w:ind w:left="960" w:right="279" w:hanging="420"/>
        <w:spacing w:after="0" w:line="284"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give the Trustee written notice of any failure by the Issuer (or by any other obligor on the Securities of such series) to make any payment of the principal of or interest on the Securities of such series when the same shall be due and payable; and</w:t>
      </w:r>
    </w:p>
    <w:p>
      <w:pPr>
        <w:spacing w:after="0" w:line="51" w:lineRule="exact"/>
        <w:rPr>
          <w:rFonts w:ascii="Times New Roman" w:cs="Times New Roman" w:eastAsia="Times New Roman" w:hAnsi="Times New Roman"/>
          <w:sz w:val="14"/>
          <w:szCs w:val="14"/>
          <w:color w:val="auto"/>
        </w:rPr>
      </w:pPr>
    </w:p>
    <w:p>
      <w:pPr>
        <w:ind w:left="960" w:right="359" w:hanging="420"/>
        <w:spacing w:after="0" w:line="284"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pay any such sums so held in trust by it to the Trustee upon the Trustee’s written request at any time during the continuance of the failure referred to in the foregoing clause (b).</w:t>
      </w:r>
    </w:p>
    <w:p>
      <w:pPr>
        <w:spacing w:after="0" w:line="125" w:lineRule="exact"/>
        <w:rPr>
          <w:sz w:val="20"/>
          <w:szCs w:val="20"/>
          <w:color w:val="auto"/>
        </w:rPr>
      </w:pPr>
    </w:p>
    <w:p>
      <w:pPr>
        <w:ind w:left="200" w:right="339" w:firstLine="344"/>
        <w:spacing w:after="0" w:line="268" w:lineRule="auto"/>
        <w:rPr>
          <w:sz w:val="20"/>
          <w:szCs w:val="20"/>
          <w:color w:val="auto"/>
        </w:rPr>
      </w:pPr>
      <w:r>
        <w:rPr>
          <w:rFonts w:ascii="Times New Roman" w:cs="Times New Roman" w:eastAsia="Times New Roman" w:hAnsi="Times New Roman"/>
          <w:sz w:val="14"/>
          <w:szCs w:val="14"/>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35" w:lineRule="exact"/>
        <w:rPr>
          <w:sz w:val="20"/>
          <w:szCs w:val="20"/>
          <w:color w:val="auto"/>
        </w:rPr>
      </w:pPr>
    </w:p>
    <w:p>
      <w:pPr>
        <w:ind w:left="200" w:right="379" w:firstLine="344"/>
        <w:spacing w:after="0" w:line="268" w:lineRule="auto"/>
        <w:rPr>
          <w:sz w:val="20"/>
          <w:szCs w:val="20"/>
          <w:color w:val="auto"/>
        </w:rPr>
      </w:pPr>
      <w:r>
        <w:rPr>
          <w:rFonts w:ascii="Times New Roman" w:cs="Times New Roman" w:eastAsia="Times New Roman" w:hAnsi="Times New Roman"/>
          <w:sz w:val="14"/>
          <w:szCs w:val="14"/>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in writing of any failure to take such action.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66" w:name="page67"/>
    <w:bookmarkEnd w:id="66"/>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Anything in this Section to the contrary notwithstanding, but subject to Section 10.1,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40" w:lineRule="exact"/>
        <w:rPr>
          <w:sz w:val="20"/>
          <w:szCs w:val="20"/>
          <w:color w:val="auto"/>
        </w:rPr>
      </w:pPr>
    </w:p>
    <w:p>
      <w:pPr>
        <w:ind w:left="200" w:right="819" w:firstLine="344"/>
        <w:spacing w:after="0" w:line="284" w:lineRule="auto"/>
        <w:rPr>
          <w:sz w:val="20"/>
          <w:szCs w:val="20"/>
          <w:color w:val="auto"/>
        </w:rPr>
      </w:pPr>
      <w:r>
        <w:rPr>
          <w:rFonts w:ascii="Times New Roman" w:cs="Times New Roman" w:eastAsia="Times New Roman" w:hAnsi="Times New Roman"/>
          <w:sz w:val="14"/>
          <w:szCs w:val="14"/>
          <w:color w:val="auto"/>
        </w:rPr>
        <w:t>Anything in this Section to the contrary notwithstanding, the agreement to hold sums in trust as provided in this Section is subject to the provisions of Sections 10.3 and 10.4.</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3.5 COMPLIANCE CERTIFICATES</w:t>
      </w:r>
    </w:p>
    <w:p>
      <w:pPr>
        <w:spacing w:after="0" w:line="178" w:lineRule="exact"/>
        <w:rPr>
          <w:sz w:val="20"/>
          <w:szCs w:val="20"/>
          <w:color w:val="auto"/>
        </w:rPr>
      </w:pPr>
    </w:p>
    <w:p>
      <w:pPr>
        <w:ind w:left="200" w:right="219" w:firstLine="344"/>
        <w:spacing w:after="0" w:line="258" w:lineRule="auto"/>
        <w:rPr>
          <w:sz w:val="20"/>
          <w:szCs w:val="20"/>
          <w:color w:val="auto"/>
        </w:rPr>
      </w:pPr>
      <w:r>
        <w:rPr>
          <w:rFonts w:ascii="Times New Roman" w:cs="Times New Roman" w:eastAsia="Times New Roman" w:hAnsi="Times New Roman"/>
          <w:sz w:val="14"/>
          <w:szCs w:val="14"/>
          <w:color w:val="auto"/>
        </w:rPr>
        <w:t>The Issuer will furnish to the Trustee on or before the date that is 120 days following the end of each fiscal year (beginning with the fiscal year ended [ ]) an officer’s certificate (which need not comply with Section 11.5) from the principal executive, financial or accounting officer of the Issuer stating that in the course of the performance by the signer of his or her duties as an officer of the Issuer he or she would normally have knowledge of any default or non-compliance by the Issuer in the performance of any covenants or conditions contained in this Indenture, stating whether or not he or she has knowledge of any such default or non-compliance (without regard to notice requirements or grace periods) and, if so, describing each such default or non-compliance of which the signer has knowledge and the nature thereof.</w:t>
      </w:r>
    </w:p>
    <w:p>
      <w:pPr>
        <w:spacing w:after="0" w:line="142" w:lineRule="exact"/>
        <w:rPr>
          <w:sz w:val="20"/>
          <w:szCs w:val="20"/>
          <w:color w:val="auto"/>
        </w:rPr>
      </w:pPr>
    </w:p>
    <w:p>
      <w:pPr>
        <w:jc w:val="both"/>
        <w:ind w:left="200" w:right="399" w:firstLine="344"/>
        <w:spacing w:after="0" w:line="268" w:lineRule="auto"/>
        <w:rPr>
          <w:sz w:val="20"/>
          <w:szCs w:val="20"/>
          <w:color w:val="auto"/>
        </w:rPr>
      </w:pPr>
      <w:r>
        <w:rPr>
          <w:rFonts w:ascii="Times New Roman" w:cs="Times New Roman" w:eastAsia="Times New Roman" w:hAnsi="Times New Roman"/>
          <w:sz w:val="14"/>
          <w:szCs w:val="14"/>
          <w:color w:val="auto"/>
        </w:rPr>
        <w:t>The Issuer shall deliver to the Trustee, as soon as possible and in any event within five days after the Issuer becomes aware of the occurrence of any Event of Default or an event which, with notice or the lapse of time or both, would constitute an Event of Default, an Officers’ Certificate setting forth the details of such Event of Default or default and the action which the Issuer proposes to take with respect thereto.</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3.6 CORPORATE EXISTENCE</w:t>
      </w:r>
    </w:p>
    <w:p>
      <w:pPr>
        <w:spacing w:after="0" w:line="178" w:lineRule="exact"/>
        <w:rPr>
          <w:sz w:val="20"/>
          <w:szCs w:val="20"/>
          <w:color w:val="auto"/>
        </w:rPr>
      </w:pPr>
    </w:p>
    <w:p>
      <w:pPr>
        <w:ind w:left="200" w:right="219" w:firstLine="344"/>
        <w:spacing w:after="0" w:line="262" w:lineRule="auto"/>
        <w:rPr>
          <w:sz w:val="20"/>
          <w:szCs w:val="20"/>
          <w:color w:val="auto"/>
        </w:rPr>
      </w:pPr>
      <w:r>
        <w:rPr>
          <w:rFonts w:ascii="Times New Roman" w:cs="Times New Roman" w:eastAsia="Times New Roman" w:hAnsi="Times New Roman"/>
          <w:sz w:val="14"/>
          <w:szCs w:val="14"/>
          <w:color w:val="auto"/>
        </w:rPr>
        <w:t>Subject to Article IX, the Issuer will do or cause to be done all things necessary to preserve and keep in full force and effect its corporate existence and the rights (charter and statutory), licenses and franchises of the Issuer and its Subsidiaries; provided, that the Issuer shall not be required to preserve any such right, license or franchise, if, in the judgment of the Issuer, the preservation thereof is no longer desirable in the conduct of the business of the Issuer and its Subsidiaries taken as a whole and the loss thereof is not disadvantageous in any material respect to the Securityholders.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3.7 CALCULATION OF ORIGINAL ISSUE DISCOUNT</w:t>
      </w:r>
    </w:p>
    <w:p>
      <w:pPr>
        <w:spacing w:after="0" w:line="178" w:lineRule="exact"/>
        <w:rPr>
          <w:sz w:val="20"/>
          <w:szCs w:val="20"/>
          <w:color w:val="auto"/>
        </w:rPr>
      </w:pPr>
    </w:p>
    <w:p>
      <w:pPr>
        <w:ind w:left="200" w:right="239" w:firstLine="344"/>
        <w:spacing w:after="0" w:line="268" w:lineRule="auto"/>
        <w:rPr>
          <w:sz w:val="20"/>
          <w:szCs w:val="20"/>
          <w:color w:val="auto"/>
        </w:rPr>
      </w:pPr>
      <w:r>
        <w:rPr>
          <w:rFonts w:ascii="Times New Roman" w:cs="Times New Roman" w:eastAsia="Times New Roman" w:hAnsi="Times New Roman"/>
          <w:sz w:val="14"/>
          <w:szCs w:val="14"/>
          <w:color w:val="auto"/>
        </w:rPr>
        <w:t>The Issuer shall file with the Trustee promptly at the end of each calendar year (i) a written notice specifying the amount of original issue discount (including daily rates and accrual periods) accrued on Outstanding Securities as of the end of such year and (ii) such other specific information relating to such original issue discount as may then be relevant under the Internal Revenue Code of 1986, as amended from time to time.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SECURITYHOLDER LISTS AND REPORTS BY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AND THE TRUSTEE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SECTION 4.1 ISSUER TO FURNISH TRUSTEE INFORMATION AS TO NAMES AND ADDRESSES OF SECURITYHOLDERS</w:t>
      </w:r>
    </w:p>
    <w:p>
      <w:pPr>
        <w:spacing w:after="0" w:line="178" w:lineRule="exact"/>
        <w:rPr>
          <w:sz w:val="20"/>
          <w:szCs w:val="20"/>
          <w:color w:val="auto"/>
        </w:rPr>
      </w:pPr>
    </w:p>
    <w:p>
      <w:pPr>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t>If and so long as the Trustee shall not be the Registrar for the Securities of any series, the Issuer and any other obligor on the Securities will furnish or cause to be furnished to the Trustee a list in such form as the Trustee may reasonably require of the names and addresses of the Holders of the Registered Securities of such series pursuant to Section 312 of the Trust Indenture Act:</w:t>
      </w:r>
    </w:p>
    <w:p>
      <w:pPr>
        <w:spacing w:after="0" w:line="62" w:lineRule="exact"/>
        <w:rPr>
          <w:sz w:val="20"/>
          <w:szCs w:val="20"/>
          <w:color w:val="auto"/>
        </w:rPr>
      </w:pPr>
    </w:p>
    <w:p>
      <w:pPr>
        <w:ind w:left="1320" w:right="279" w:hanging="347"/>
        <w:spacing w:after="0" w:line="268" w:lineRule="auto"/>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semi-annually not more than 5 days after each record date for the payment of interest on such Registered Securities, as hereinabove specified, as of such record date and on dates to be determined pursuant to Section 2.3 for non-interest bearing Registered Securities in each year; and</w:t>
      </w:r>
    </w:p>
    <w:p>
      <w:pPr>
        <w:spacing w:after="0" w:line="61" w:lineRule="exact"/>
        <w:rPr>
          <w:rFonts w:ascii="Times New Roman" w:cs="Times New Roman" w:eastAsia="Times New Roman" w:hAnsi="Times New Roman"/>
          <w:sz w:val="14"/>
          <w:szCs w:val="14"/>
          <w:color w:val="auto"/>
        </w:rPr>
      </w:pPr>
    </w:p>
    <w:p>
      <w:pPr>
        <w:ind w:left="1320" w:right="259" w:hanging="347"/>
        <w:spacing w:after="0" w:line="284" w:lineRule="auto"/>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such other times as the Trustee may reasonably request in writing, within 30 days after receipt by the Issuer of any such request as of a date not more than 15 days prior to the time such information is furnished.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4.2 REPORTS BY THE ISSUER</w:t>
      </w:r>
    </w:p>
    <w:p>
      <w:pPr>
        <w:spacing w:after="0" w:line="178" w:lineRule="exact"/>
        <w:rPr>
          <w:sz w:val="20"/>
          <w:szCs w:val="20"/>
          <w:color w:val="auto"/>
        </w:rPr>
      </w:pPr>
    </w:p>
    <w:p>
      <w:pPr>
        <w:ind w:left="200" w:right="239" w:firstLine="344"/>
        <w:spacing w:after="0" w:line="268" w:lineRule="auto"/>
        <w:rPr>
          <w:sz w:val="20"/>
          <w:szCs w:val="20"/>
          <w:color w:val="auto"/>
        </w:rPr>
      </w:pPr>
      <w:r>
        <w:rPr>
          <w:rFonts w:ascii="Times New Roman" w:cs="Times New Roman" w:eastAsia="Times New Roman" w:hAnsi="Times New Roman"/>
          <w:sz w:val="14"/>
          <w:szCs w:val="14"/>
          <w:color w:val="auto"/>
        </w:rPr>
        <w:t>The Issuer covenants to file with the Trustee, within 15 days after the Issuer is required to file the same with the Commission, copies of the annual reports and of the information, documents, and other reports that the Issuer may be required to file with the Commission pursuant to Section 13 or Section 15(d) of the Exchange Act or pursuant to Section 314 of the Trust Indenture Act.</w:t>
      </w:r>
    </w:p>
    <w:p>
      <w:pPr>
        <w:spacing w:after="0" w:line="135" w:lineRule="exact"/>
        <w:rPr>
          <w:sz w:val="20"/>
          <w:szCs w:val="20"/>
          <w:color w:val="auto"/>
        </w:rPr>
      </w:pPr>
    </w:p>
    <w:p>
      <w:pPr>
        <w:ind w:left="200" w:right="379" w:firstLine="344"/>
        <w:spacing w:after="0" w:line="268" w:lineRule="auto"/>
        <w:rPr>
          <w:sz w:val="20"/>
          <w:szCs w:val="20"/>
          <w:color w:val="auto"/>
        </w:rPr>
      </w:pPr>
      <w:r>
        <w:rPr>
          <w:rFonts w:ascii="Times New Roman" w:cs="Times New Roman" w:eastAsia="Times New Roman" w:hAnsi="Times New Roman"/>
          <w:sz w:val="14"/>
          <w:szCs w:val="14"/>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covenants hereunder (as to which the Trustee is entitled to rely exclusively on Officers’ Certificates).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4.3 REPORTS BY THE TRUSTEE</w:t>
      </w:r>
    </w:p>
    <w:p>
      <w:pPr>
        <w:spacing w:after="0" w:line="199" w:lineRule="exact"/>
        <w:rPr>
          <w:sz w:val="20"/>
          <w:szCs w:val="20"/>
          <w:color w:val="auto"/>
        </w:rPr>
      </w:pPr>
    </w:p>
    <w:p>
      <w:pPr>
        <w:ind w:left="960" w:right="279" w:hanging="420"/>
        <w:spacing w:after="0" w:line="262" w:lineRule="auto"/>
        <w:tabs>
          <w:tab w:leader="none" w:pos="9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the initial issuance of Securities under this Indenture deliver to Holders a brief report, dated as of such May 15, which complies with the provisions of such Section 313(a).</w:t>
      </w:r>
    </w:p>
    <w:p>
      <w:pPr>
        <w:spacing w:after="0" w:line="66" w:lineRule="exact"/>
        <w:rPr>
          <w:rFonts w:ascii="Times New Roman" w:cs="Times New Roman" w:eastAsia="Times New Roman" w:hAnsi="Times New Roman"/>
          <w:sz w:val="14"/>
          <w:szCs w:val="14"/>
          <w:color w:val="auto"/>
        </w:rPr>
      </w:pPr>
    </w:p>
    <w:p>
      <w:pPr>
        <w:ind w:left="960" w:right="219" w:hanging="420"/>
        <w:spacing w:after="0" w:line="268" w:lineRule="auto"/>
        <w:tabs>
          <w:tab w:leader="none" w:pos="9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Holders, be filed by the Trustee with each stock exchange, if any, upon which the Securities are listed, with the Commission and with the Issuer. The Issuer will promptly notify the Trustee in writing when the Securities are listed on any stock exchange and of any delisting thereof.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5.1 EVENT OF DEFAULT DEFINED, ACCELERATION OF MATURITY; WAIVER OF DEFAULT</w:t>
      </w:r>
    </w:p>
    <w:p>
      <w:pPr>
        <w:spacing w:after="0" w:line="178" w:lineRule="exact"/>
        <w:rPr>
          <w:sz w:val="20"/>
          <w:szCs w:val="20"/>
          <w:color w:val="auto"/>
        </w:rPr>
      </w:pPr>
    </w:p>
    <w:p>
      <w:pPr>
        <w:ind w:left="200" w:right="359" w:firstLine="344"/>
        <w:spacing w:after="0" w:line="268" w:lineRule="auto"/>
        <w:rPr>
          <w:sz w:val="20"/>
          <w:szCs w:val="20"/>
          <w:color w:val="auto"/>
        </w:rPr>
      </w:pPr>
      <w:r>
        <w:rPr>
          <w:rFonts w:ascii="Times New Roman" w:cs="Times New Roman" w:eastAsia="Times New Roman" w:hAnsi="Times New Roman"/>
          <w:sz w:val="14"/>
          <w:szCs w:val="14"/>
          <w:color w:val="auto"/>
        </w:rPr>
        <w:t>“Event of Default”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2" w:lineRule="exact"/>
        <w:rPr>
          <w:sz w:val="20"/>
          <w:szCs w:val="20"/>
          <w:color w:val="auto"/>
        </w:rPr>
      </w:pPr>
    </w:p>
    <w:p>
      <w:pPr>
        <w:ind w:left="960" w:right="339" w:hanging="420"/>
        <w:spacing w:after="0" w:line="268" w:lineRule="auto"/>
        <w:tabs>
          <w:tab w:leader="none" w:pos="9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installment of interest upon any of the Securities of such series as and when the same shall become due and payable, and continuance of such default for a period of 30 days; provided that, a valid extension of an interest payment period by the Issuer in accordance with the terms of such Securities shall not constitute a failure to pay interest;</w:t>
      </w:r>
    </w:p>
    <w:p>
      <w:pPr>
        <w:spacing w:after="0" w:line="61" w:lineRule="exact"/>
        <w:rPr>
          <w:rFonts w:ascii="Times New Roman" w:cs="Times New Roman" w:eastAsia="Times New Roman" w:hAnsi="Times New Roman"/>
          <w:sz w:val="14"/>
          <w:szCs w:val="14"/>
          <w:color w:val="auto"/>
        </w:rPr>
      </w:pPr>
    </w:p>
    <w:p>
      <w:pPr>
        <w:ind w:left="960" w:right="359" w:hanging="420"/>
        <w:spacing w:after="0" w:line="284" w:lineRule="auto"/>
        <w:tabs>
          <w:tab w:leader="none" w:pos="9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all or any part of the principal or premium (if any) on any of the Securities of such series as and when the same shall become due and payable either at maturity, upon any redemption, by declaration or otherwise;</w:t>
      </w:r>
    </w:p>
    <w:p>
      <w:pPr>
        <w:spacing w:after="0" w:line="51" w:lineRule="exact"/>
        <w:rPr>
          <w:rFonts w:ascii="Times New Roman" w:cs="Times New Roman" w:eastAsia="Times New Roman" w:hAnsi="Times New Roman"/>
          <w:sz w:val="14"/>
          <w:szCs w:val="14"/>
          <w:color w:val="auto"/>
        </w:rPr>
      </w:pPr>
    </w:p>
    <w:p>
      <w:pPr>
        <w:ind w:left="960" w:right="259" w:hanging="420"/>
        <w:spacing w:after="0" w:line="258" w:lineRule="auto"/>
        <w:tabs>
          <w:tab w:leader="none" w:pos="9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the part of the Issuer duly to observe or perform any other of the covenants or agreements on the part of the Issuer in the Securities of such series or contained in this Indenture (other than a covenant or agreement included in this Indenture solely for the benefit of a series of Securities other than such series) for a period of [ ] days after the date on which written notice specifying such failure, stating that such notice is a “Notice of Default” hereunder and demanding that the Issuer remedy the same, shall have been given by registered or certified mail, return receipt requested, to the Issuer by the Trustee, or to the Issuer and the Trustee by the holders of at least [ ]% in aggregate principal amount of the Outstanding Securities of the series to which such covenant or agreement relates;</w:t>
      </w:r>
    </w:p>
    <w:p>
      <w:pPr>
        <w:spacing w:after="0" w:line="68" w:lineRule="exact"/>
        <w:rPr>
          <w:rFonts w:ascii="Times New Roman" w:cs="Times New Roman" w:eastAsia="Times New Roman" w:hAnsi="Times New Roman"/>
          <w:sz w:val="14"/>
          <w:szCs w:val="14"/>
          <w:color w:val="auto"/>
        </w:rPr>
      </w:pPr>
    </w:p>
    <w:p>
      <w:pPr>
        <w:ind w:left="960" w:right="279" w:hanging="420"/>
        <w:spacing w:after="0" w:line="262" w:lineRule="auto"/>
        <w:tabs>
          <w:tab w:leader="none" w:pos="9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sequestrator (or similar official) of the Issuer for any substantial part of its property or ordering the winding up or liquidation of its affairs, and such decree or order shall remain unstayed and in effect for a period of 60 consecutive days;</w:t>
      </w:r>
    </w:p>
    <w:p>
      <w:pPr>
        <w:spacing w:after="0" w:line="66" w:lineRule="exact"/>
        <w:rPr>
          <w:rFonts w:ascii="Times New Roman" w:cs="Times New Roman" w:eastAsia="Times New Roman" w:hAnsi="Times New Roman"/>
          <w:sz w:val="14"/>
          <w:szCs w:val="14"/>
          <w:color w:val="auto"/>
        </w:rPr>
      </w:pPr>
    </w:p>
    <w:p>
      <w:pPr>
        <w:ind w:left="960" w:right="299" w:hanging="420"/>
        <w:spacing w:after="0" w:line="262" w:lineRule="auto"/>
        <w:tabs>
          <w:tab w:leader="none" w:pos="9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shall commence a voluntary case under any applicable bankruptcy, insolvency or other similar law now or hereafter in effect, or consent to the entry of an order for relief in an involuntary case under any such law, or consent to the appointment or taking possession by a receiver, liquidator, assignee, custodian, trustee, sequestrator (or similar official) of the Issuer or for any substantial part of its or their property, or make any general assignment for the benefit of creditors; or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69" w:name="page70"/>
    <w:bookmarkEnd w:id="69"/>
    <w:p>
      <w:pPr>
        <w:ind w:left="960" w:right="419" w:hanging="420"/>
        <w:spacing w:after="0" w:line="284" w:lineRule="auto"/>
        <w:tabs>
          <w:tab w:leader="none" w:pos="9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other Event of Default provided in the supplemental indenture, Board Resolution or Officers’ Certificate under which such series of Securities is established.</w:t>
      </w:r>
    </w:p>
    <w:p>
      <w:pPr>
        <w:spacing w:after="0" w:line="125" w:lineRule="exact"/>
        <w:rPr>
          <w:sz w:val="20"/>
          <w:szCs w:val="20"/>
          <w:color w:val="auto"/>
        </w:rPr>
      </w:pPr>
    </w:p>
    <w:p>
      <w:pPr>
        <w:ind w:left="200" w:right="319" w:firstLine="344"/>
        <w:spacing w:after="0" w:line="256" w:lineRule="auto"/>
        <w:rPr>
          <w:sz w:val="20"/>
          <w:szCs w:val="20"/>
          <w:color w:val="auto"/>
        </w:rPr>
      </w:pPr>
      <w:r>
        <w:rPr>
          <w:rFonts w:ascii="Times New Roman" w:cs="Times New Roman" w:eastAsia="Times New Roman" w:hAnsi="Times New Roman"/>
          <w:sz w:val="14"/>
          <w:szCs w:val="14"/>
          <w:color w:val="auto"/>
        </w:rPr>
        <w:t>If an Event of Default described in clause (a), (b), (c) or (f) occurs with respect to a series of Securities and is continuing, then, and in each and every such case, except for any series of Securities the principal of which shall have already become due and payable, either the Trustee or the Holders of not less than [ ]% in aggregate principal amount of the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47" w:lineRule="exact"/>
        <w:rPr>
          <w:sz w:val="20"/>
          <w:szCs w:val="20"/>
          <w:color w:val="auto"/>
        </w:rPr>
      </w:pPr>
    </w:p>
    <w:p>
      <w:pPr>
        <w:ind w:left="200" w:right="319" w:firstLine="344"/>
        <w:spacing w:after="0" w:line="268" w:lineRule="auto"/>
        <w:rPr>
          <w:sz w:val="20"/>
          <w:szCs w:val="20"/>
          <w:color w:val="auto"/>
        </w:rPr>
      </w:pPr>
      <w:r>
        <w:rPr>
          <w:rFonts w:ascii="Times New Roman" w:cs="Times New Roman" w:eastAsia="Times New Roman" w:hAnsi="Times New Roman"/>
          <w:sz w:val="14"/>
          <w:szCs w:val="14"/>
          <w:color w:val="auto"/>
        </w:rPr>
        <w:t>If an Event of Default described in clause (d) or (e) above occurs and is continuing, then the principal amount of all the Securities then Outstanding, and the interest accrued thereon, if any, shall become and be immediately due and payable without any declaration or other act on the part of the Trustee or any Holder.</w:t>
      </w:r>
    </w:p>
    <w:p>
      <w:pPr>
        <w:spacing w:after="0" w:line="135" w:lineRule="exact"/>
        <w:rPr>
          <w:sz w:val="20"/>
          <w:szCs w:val="20"/>
          <w:color w:val="auto"/>
        </w:rPr>
      </w:pPr>
    </w:p>
    <w:p>
      <w:pPr>
        <w:ind w:left="200" w:right="319" w:firstLine="344"/>
        <w:spacing w:after="0" w:line="262" w:lineRule="auto"/>
        <w:rPr>
          <w:sz w:val="20"/>
          <w:szCs w:val="20"/>
          <w:color w:val="auto"/>
        </w:rPr>
      </w:pPr>
      <w:r>
        <w:rPr>
          <w:rFonts w:ascii="Times New Roman" w:cs="Times New Roman" w:eastAsia="Times New Roman" w:hAnsi="Times New Roman"/>
          <w:sz w:val="14"/>
          <w:szCs w:val="14"/>
          <w:color w:val="auto"/>
        </w:rPr>
        <w:t>The foregoing provisions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w:t>
      </w:r>
    </w:p>
    <w:p>
      <w:pPr>
        <w:spacing w:after="0" w:line="67" w:lineRule="exact"/>
        <w:rPr>
          <w:sz w:val="20"/>
          <w:szCs w:val="20"/>
          <w:color w:val="auto"/>
        </w:rPr>
      </w:pPr>
    </w:p>
    <w:p>
      <w:pPr>
        <w:ind w:left="960" w:hanging="420"/>
        <w:spacing w:after="0"/>
        <w:tabs>
          <w:tab w:leader="none" w:pos="9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shall pay or shall deposit with the Trustee a sum sufficient to pay</w:t>
      </w:r>
    </w:p>
    <w:p>
      <w:pPr>
        <w:spacing w:after="0" w:line="102" w:lineRule="exact"/>
        <w:rPr>
          <w:rFonts w:ascii="Times New Roman" w:cs="Times New Roman" w:eastAsia="Times New Roman" w:hAnsi="Times New Roman"/>
          <w:sz w:val="14"/>
          <w:szCs w:val="14"/>
          <w:color w:val="auto"/>
        </w:rPr>
      </w:pPr>
    </w:p>
    <w:p>
      <w:pPr>
        <w:ind w:left="1320" w:hanging="347"/>
        <w:spacing w:after="0"/>
        <w:tabs>
          <w:tab w:leader="none" w:pos="13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matured installments of interest upon all the Securities of such series (or all the Securities, as the case may be);</w:t>
      </w:r>
    </w:p>
    <w:p>
      <w:pPr>
        <w:spacing w:after="0" w:line="102" w:lineRule="exact"/>
        <w:rPr>
          <w:rFonts w:ascii="Times New Roman" w:cs="Times New Roman" w:eastAsia="Times New Roman" w:hAnsi="Times New Roman"/>
          <w:sz w:val="14"/>
          <w:szCs w:val="14"/>
          <w:color w:val="auto"/>
        </w:rPr>
      </w:pPr>
    </w:p>
    <w:p>
      <w:pPr>
        <w:ind w:left="1320" w:right="639" w:hanging="347"/>
        <w:spacing w:after="0" w:line="284" w:lineRule="auto"/>
        <w:tabs>
          <w:tab w:leader="none" w:pos="13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any and all Securities of such series (or of all the Securities, as the case may be) which shall have become due otherwise than by acceleration;</w:t>
      </w:r>
    </w:p>
    <w:p>
      <w:pPr>
        <w:spacing w:after="0" w:line="51" w:lineRule="exact"/>
        <w:rPr>
          <w:rFonts w:ascii="Times New Roman" w:cs="Times New Roman" w:eastAsia="Times New Roman" w:hAnsi="Times New Roman"/>
          <w:sz w:val="14"/>
          <w:szCs w:val="14"/>
          <w:color w:val="auto"/>
        </w:rPr>
      </w:pPr>
    </w:p>
    <w:p>
      <w:pPr>
        <w:ind w:left="1320" w:right="279" w:hanging="347"/>
        <w:spacing w:after="0" w:line="262" w:lineRule="auto"/>
        <w:tabs>
          <w:tab w:leader="none" w:pos="13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w:t>
      </w:r>
    </w:p>
    <w:p>
      <w:pPr>
        <w:spacing w:after="0" w:line="66" w:lineRule="exact"/>
        <w:rPr>
          <w:rFonts w:ascii="Times New Roman" w:cs="Times New Roman" w:eastAsia="Times New Roman" w:hAnsi="Times New Roman"/>
          <w:sz w:val="14"/>
          <w:szCs w:val="14"/>
          <w:color w:val="auto"/>
        </w:rPr>
      </w:pPr>
    </w:p>
    <w:p>
      <w:pPr>
        <w:ind w:left="1320" w:hanging="347"/>
        <w:spacing w:after="0"/>
        <w:tabs>
          <w:tab w:leader="none" w:pos="13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payable to the Trustee pursuant to Section 6.6; and</w:t>
      </w:r>
    </w:p>
    <w:p>
      <w:pPr>
        <w:spacing w:after="0" w:line="102" w:lineRule="exact"/>
        <w:rPr>
          <w:rFonts w:ascii="Times New Roman" w:cs="Times New Roman" w:eastAsia="Times New Roman" w:hAnsi="Times New Roman"/>
          <w:sz w:val="14"/>
          <w:szCs w:val="14"/>
          <w:color w:val="auto"/>
        </w:rPr>
      </w:pPr>
    </w:p>
    <w:p>
      <w:pPr>
        <w:ind w:left="960" w:right="219" w:hanging="420"/>
        <w:spacing w:after="0" w:line="258" w:lineRule="auto"/>
        <w:tabs>
          <w:tab w:leader="none" w:pos="9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Securities of such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70" w:name="page71"/>
    <w:bookmarkEnd w:id="70"/>
    <w:p>
      <w:pPr>
        <w:ind w:left="200" w:right="239" w:firstLine="344"/>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5.2 COLLECTION OF INDEBTEDNESS BY TRUSTEE; TRUSTEE MAY PROVE DEBT</w:t>
      </w:r>
    </w:p>
    <w:p>
      <w:pPr>
        <w:spacing w:after="0" w:line="178" w:lineRule="exact"/>
        <w:rPr>
          <w:sz w:val="20"/>
          <w:szCs w:val="20"/>
          <w:color w:val="auto"/>
        </w:rPr>
      </w:pPr>
    </w:p>
    <w:p>
      <w:pPr>
        <w:ind w:left="200" w:right="219" w:firstLine="344"/>
        <w:spacing w:after="0" w:line="255" w:lineRule="auto"/>
        <w:rPr>
          <w:sz w:val="20"/>
          <w:szCs w:val="20"/>
          <w:color w:val="auto"/>
        </w:rPr>
      </w:pPr>
      <w:r>
        <w:rPr>
          <w:rFonts w:ascii="Times New Roman" w:cs="Times New Roman" w:eastAsia="Times New Roman" w:hAnsi="Times New Roman"/>
          <w:sz w:val="14"/>
          <w:szCs w:val="14"/>
          <w:color w:val="auto"/>
        </w:rPr>
        <w:t>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and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and such other amount due the Trustee under Section 6.6 in respect of Securities of such series.</w:t>
      </w:r>
    </w:p>
    <w:p>
      <w:pPr>
        <w:spacing w:after="0" w:line="145" w:lineRule="exact"/>
        <w:rPr>
          <w:sz w:val="20"/>
          <w:szCs w:val="20"/>
          <w:color w:val="auto"/>
        </w:rPr>
      </w:pPr>
    </w:p>
    <w:p>
      <w:pPr>
        <w:ind w:left="200" w:right="219" w:firstLine="344"/>
        <w:spacing w:after="0" w:line="284" w:lineRule="auto"/>
        <w:rPr>
          <w:sz w:val="20"/>
          <w:szCs w:val="20"/>
          <w:color w:val="auto"/>
        </w:rPr>
      </w:pPr>
      <w:r>
        <w:rPr>
          <w:rFonts w:ascii="Times New Roman" w:cs="Times New Roman" w:eastAsia="Times New Roman" w:hAnsi="Times New Roman"/>
          <w:sz w:val="14"/>
          <w:szCs w:val="14"/>
          <w:color w:val="auto"/>
        </w:rPr>
        <w:t>Until such demand is made by the Trustee, the Issuer may pay the principal of and interest on the Securities of any series to the registered Holders, whether or not the Securities of such series be overdue.</w:t>
      </w:r>
    </w:p>
    <w:p>
      <w:pPr>
        <w:spacing w:after="0" w:line="125" w:lineRule="exact"/>
        <w:rPr>
          <w:sz w:val="20"/>
          <w:szCs w:val="20"/>
          <w:color w:val="auto"/>
        </w:rPr>
      </w:pPr>
    </w:p>
    <w:p>
      <w:pPr>
        <w:ind w:left="200" w:right="319" w:firstLine="344"/>
        <w:spacing w:after="0" w:line="259" w:lineRule="auto"/>
        <w:rPr>
          <w:sz w:val="20"/>
          <w:szCs w:val="20"/>
          <w:color w:val="auto"/>
        </w:rPr>
      </w:pPr>
      <w:r>
        <w:rPr>
          <w:rFonts w:ascii="Times New Roman" w:cs="Times New Roman" w:eastAsia="Times New Roman" w:hAnsi="Times New Roman"/>
          <w:sz w:val="14"/>
          <w:szCs w:val="14"/>
          <w:color w:val="auto"/>
        </w:rPr>
        <w:t>In case the Issuer shall fail forthwith to pay such amounts upon such demand, the Trustee, in its own name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the Securities and collect in the manner provided by law out of the property of the Issuer or other obligor upon the Securities, wherever situated, all the moneys adjudged or decreed to be payable.</w:t>
      </w:r>
    </w:p>
    <w:p>
      <w:pPr>
        <w:spacing w:after="0" w:line="143" w:lineRule="exact"/>
        <w:rPr>
          <w:sz w:val="20"/>
          <w:szCs w:val="20"/>
          <w:color w:val="auto"/>
        </w:rPr>
      </w:pPr>
    </w:p>
    <w:p>
      <w:pPr>
        <w:ind w:left="200" w:right="299" w:firstLine="344"/>
        <w:spacing w:after="0" w:line="256" w:lineRule="auto"/>
        <w:rPr>
          <w:sz w:val="20"/>
          <w:szCs w:val="20"/>
          <w:color w:val="auto"/>
        </w:rPr>
      </w:pPr>
      <w:r>
        <w:rPr>
          <w:rFonts w:ascii="Times New Roman" w:cs="Times New Roman" w:eastAsia="Times New Roman" w:hAnsi="Times New Roman"/>
          <w:sz w:val="14"/>
          <w:szCs w:val="14"/>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or to the creditors or property of the Issuer or such other obligor, the Trustee, irrespective of whether the principal of the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71" w:name="page72"/>
    <w:bookmarkEnd w:id="71"/>
    <w:p>
      <w:pPr>
        <w:ind w:left="960" w:right="219" w:hanging="420"/>
        <w:spacing w:after="0" w:line="259" w:lineRule="auto"/>
        <w:tabs>
          <w:tab w:leader="none" w:pos="9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amounts payable to the Trustee under Section 6.6) and of the Securityholders allowed in any judicial proceedings relative to the Issuer or other obligor upon the Securities, or to the creditors or property of the Issuer or such other obligor; and</w:t>
      </w:r>
    </w:p>
    <w:p>
      <w:pPr>
        <w:spacing w:after="0" w:line="69" w:lineRule="exact"/>
        <w:rPr>
          <w:rFonts w:ascii="Times New Roman" w:cs="Times New Roman" w:eastAsia="Times New Roman" w:hAnsi="Times New Roman"/>
          <w:sz w:val="14"/>
          <w:szCs w:val="14"/>
          <w:color w:val="auto"/>
        </w:rPr>
      </w:pPr>
    </w:p>
    <w:p>
      <w:pPr>
        <w:ind w:left="960" w:right="359" w:hanging="420"/>
        <w:spacing w:after="0" w:line="268" w:lineRule="auto"/>
        <w:tabs>
          <w:tab w:leader="none" w:pos="9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prohibited by applicable law and regulations, to vote on behalf of the holders of the Securities of any series in any election of a receiver, assignee, trustee or a standby trustee in arrangement, reorganization, liquidation or other bankruptcy or insolvency proceedings, custodian or other person performing similar functions in respect of any such proceedings; and</w:t>
      </w:r>
    </w:p>
    <w:p>
      <w:pPr>
        <w:spacing w:after="0" w:line="61" w:lineRule="exact"/>
        <w:rPr>
          <w:rFonts w:ascii="Times New Roman" w:cs="Times New Roman" w:eastAsia="Times New Roman" w:hAnsi="Times New Roman"/>
          <w:sz w:val="14"/>
          <w:szCs w:val="14"/>
          <w:color w:val="auto"/>
        </w:rPr>
      </w:pPr>
    </w:p>
    <w:p>
      <w:pPr>
        <w:ind w:left="960" w:right="259" w:hanging="420"/>
        <w:spacing w:after="0" w:line="259" w:lineRule="auto"/>
        <w:tabs>
          <w:tab w:leader="none" w:pos="9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performing similar functions in respect of any such proceedings is hereby authorized by each of the Securityholders to make payments to the Trustee, and, in the event that the Trustee shall consent to the making of payments directly to the Securityholders, to pay to the Trustee its costs and expenses of collection and all other amounts due to it pursuant to Section 6.6.</w:t>
      </w:r>
    </w:p>
    <w:p>
      <w:pPr>
        <w:spacing w:after="0" w:line="143" w:lineRule="exact"/>
        <w:rPr>
          <w:sz w:val="20"/>
          <w:szCs w:val="20"/>
          <w:color w:val="auto"/>
        </w:rPr>
      </w:pPr>
    </w:p>
    <w:p>
      <w:pPr>
        <w:ind w:left="200" w:right="539" w:firstLine="344"/>
        <w:spacing w:after="0" w:line="268"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in clause (b).</w:t>
      </w:r>
    </w:p>
    <w:p>
      <w:pPr>
        <w:spacing w:after="0" w:line="135" w:lineRule="exact"/>
        <w:rPr>
          <w:sz w:val="20"/>
          <w:szCs w:val="20"/>
          <w:color w:val="auto"/>
        </w:rPr>
      </w:pPr>
    </w:p>
    <w:p>
      <w:pPr>
        <w:ind w:left="200" w:right="359" w:firstLine="344"/>
        <w:spacing w:after="0" w:line="259" w:lineRule="auto"/>
        <w:rPr>
          <w:sz w:val="20"/>
          <w:szCs w:val="20"/>
          <w:color w:val="auto"/>
        </w:rPr>
      </w:pPr>
      <w:r>
        <w:rPr>
          <w:rFonts w:ascii="Times New Roman" w:cs="Times New Roman" w:eastAsia="Times New Roman" w:hAnsi="Times New Roman"/>
          <w:sz w:val="14"/>
          <w:szCs w:val="14"/>
          <w:color w:val="auto"/>
        </w:rPr>
        <w:t>All rights of action and of asserting claims under this Indenture, or under any of the Securities of any series, may be enforced by the Trustee without the possession of any of the Securities of such series or the production thereof in any trial or other proceedings relative thereto, and any such action or proceedings instituted by the Trustee shall be brought in its own name as trustee of an express trust, and any recovery of judgment shall be awarded to the Trustee for ratable distribution to the Holders of the Securities in respect of which such action was taken, after payment of all sums due to the Trustee under Section 6.6 in respect of such Securities.</w:t>
      </w:r>
    </w:p>
    <w:p>
      <w:pPr>
        <w:spacing w:after="0" w:line="143" w:lineRule="exact"/>
        <w:rPr>
          <w:sz w:val="20"/>
          <w:szCs w:val="20"/>
          <w:color w:val="auto"/>
        </w:rPr>
      </w:pPr>
    </w:p>
    <w:p>
      <w:pPr>
        <w:ind w:left="200" w:right="299" w:firstLine="344"/>
        <w:spacing w:after="0" w:line="268" w:lineRule="auto"/>
        <w:rPr>
          <w:sz w:val="20"/>
          <w:szCs w:val="20"/>
          <w:color w:val="auto"/>
        </w:rPr>
      </w:pPr>
      <w:r>
        <w:rPr>
          <w:rFonts w:ascii="Times New Roman" w:cs="Times New Roman" w:eastAsia="Times New Roman" w:hAnsi="Times New Roman"/>
          <w:sz w:val="14"/>
          <w:szCs w:val="14"/>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5.3 APPLICATION OF PROCEEDS</w:t>
      </w:r>
    </w:p>
    <w:p>
      <w:pPr>
        <w:spacing w:after="0" w:line="178" w:lineRule="exact"/>
        <w:rPr>
          <w:sz w:val="20"/>
          <w:szCs w:val="20"/>
          <w:color w:val="auto"/>
        </w:rPr>
      </w:pPr>
    </w:p>
    <w:p>
      <w:pPr>
        <w:jc w:val="both"/>
        <w:ind w:left="200" w:right="459" w:firstLine="344"/>
        <w:spacing w:after="0" w:line="262"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40" w:lineRule="exact"/>
        <w:rPr>
          <w:sz w:val="20"/>
          <w:szCs w:val="20"/>
          <w:color w:val="auto"/>
        </w:rPr>
      </w:pPr>
    </w:p>
    <w:p>
      <w:pPr>
        <w:ind w:left="200" w:right="599" w:firstLine="774"/>
        <w:spacing w:after="0" w:line="284" w:lineRule="auto"/>
        <w:rPr>
          <w:sz w:val="20"/>
          <w:szCs w:val="20"/>
          <w:color w:val="auto"/>
        </w:rPr>
      </w:pPr>
      <w:r>
        <w:rPr>
          <w:rFonts w:ascii="Times New Roman" w:cs="Times New Roman" w:eastAsia="Times New Roman" w:hAnsi="Times New Roman"/>
          <w:sz w:val="14"/>
          <w:szCs w:val="14"/>
          <w:color w:val="auto"/>
        </w:rPr>
        <w:t>FIRST: To the payment of costs and expenses applicable to such series of Securities in respect of which monies have been collected, including all amounts due to the Trustee and each predecessor Trustee pursuant to this Indenture in respect to such series of Securities;</w:t>
      </w:r>
    </w:p>
    <w:p>
      <w:pPr>
        <w:spacing w:after="0" w:line="125" w:lineRule="exact"/>
        <w:rPr>
          <w:sz w:val="20"/>
          <w:szCs w:val="20"/>
          <w:color w:val="auto"/>
        </w:rPr>
      </w:pPr>
    </w:p>
    <w:p>
      <w:pPr>
        <w:ind w:left="200" w:right="259" w:firstLine="774"/>
        <w:spacing w:after="0" w:line="268" w:lineRule="auto"/>
        <w:rPr>
          <w:sz w:val="20"/>
          <w:szCs w:val="20"/>
          <w:color w:val="auto"/>
        </w:rPr>
      </w:pPr>
      <w:r>
        <w:rPr>
          <w:rFonts w:ascii="Times New Roman" w:cs="Times New Roman" w:eastAsia="Times New Roman" w:hAnsi="Times New Roman"/>
          <w:sz w:val="14"/>
          <w:szCs w:val="14"/>
          <w:color w:val="auto"/>
        </w:rPr>
        <w:t>SECOND: If the Securities of such series are Subordinated Securities, to the payment of amounts then due and unpaid to the holders of Senior Indebtedness with respect to such series, to the extent required pursuant to the Subordination Provisions established with respect to the Securities of such series pursuant to Section 2.3(9).</w:t>
      </w:r>
    </w:p>
    <w:p>
      <w:pPr>
        <w:spacing w:after="0" w:line="135" w:lineRule="exact"/>
        <w:rPr>
          <w:sz w:val="20"/>
          <w:szCs w:val="20"/>
          <w:color w:val="auto"/>
        </w:rPr>
      </w:pPr>
    </w:p>
    <w:p>
      <w:pPr>
        <w:ind w:left="200" w:right="239" w:firstLine="774"/>
        <w:spacing w:after="0" w:line="259" w:lineRule="auto"/>
        <w:rPr>
          <w:sz w:val="20"/>
          <w:szCs w:val="20"/>
          <w:color w:val="auto"/>
        </w:rPr>
      </w:pPr>
      <w:r>
        <w:rPr>
          <w:rFonts w:ascii="Times New Roman" w:cs="Times New Roman" w:eastAsia="Times New Roman" w:hAnsi="Times New Roman"/>
          <w:sz w:val="14"/>
          <w:szCs w:val="14"/>
          <w:color w:val="auto"/>
        </w:rPr>
        <w:t>THIRD: In case the principal of the Securities of such series in respect of which moneys have been collected shall not have become and be then due and payable, to the payment of interest on the Securities of such series in default in the order of the maturity of the installments on such interest, with interest (to the extent that such interest has been collected by the Trustee and is permitted by applicable law)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43" w:lineRule="exact"/>
        <w:rPr>
          <w:sz w:val="20"/>
          <w:szCs w:val="20"/>
          <w:color w:val="auto"/>
        </w:rPr>
      </w:pPr>
    </w:p>
    <w:p>
      <w:pPr>
        <w:ind w:left="200" w:right="239" w:firstLine="774"/>
        <w:spacing w:after="0" w:line="255" w:lineRule="auto"/>
        <w:rPr>
          <w:sz w:val="20"/>
          <w:szCs w:val="20"/>
          <w:color w:val="auto"/>
        </w:rPr>
      </w:pPr>
      <w:r>
        <w:rPr>
          <w:rFonts w:ascii="Times New Roman" w:cs="Times New Roman" w:eastAsia="Times New Roman" w:hAnsi="Times New Roman"/>
          <w:sz w:val="14"/>
          <w:szCs w:val="14"/>
          <w:color w:val="auto"/>
        </w:rPr>
        <w:t>FOURTH: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and is permitted by applicable law) upon the overdue installations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FIFTH: To the payment of the remainder, if any, to the Issuer or to such party as a court of competent jurisdiction shall direct.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5.4 SUITS FOR ENFORCEMENT</w:t>
      </w:r>
    </w:p>
    <w:p>
      <w:pPr>
        <w:spacing w:after="0" w:line="178" w:lineRule="exact"/>
        <w:rPr>
          <w:sz w:val="20"/>
          <w:szCs w:val="20"/>
          <w:color w:val="auto"/>
        </w:rPr>
      </w:pPr>
    </w:p>
    <w:p>
      <w:pPr>
        <w:ind w:left="200" w:right="259" w:firstLine="344"/>
        <w:spacing w:after="0" w:line="259" w:lineRule="auto"/>
        <w:rPr>
          <w:sz w:val="20"/>
          <w:szCs w:val="20"/>
          <w:color w:val="auto"/>
        </w:rPr>
      </w:pPr>
      <w:r>
        <w:rPr>
          <w:rFonts w:ascii="Times New Roman" w:cs="Times New Roman" w:eastAsia="Times New Roman" w:hAnsi="Times New Roman"/>
          <w:sz w:val="14"/>
          <w:szCs w:val="14"/>
          <w:color w:val="auto"/>
        </w:rPr>
        <w:t>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5.5 RESTORATION OF RIGHTS ON ABANDONMENT OF PROCEEDINGS</w:t>
      </w:r>
    </w:p>
    <w:p>
      <w:pPr>
        <w:spacing w:after="0" w:line="178" w:lineRule="exact"/>
        <w:rPr>
          <w:sz w:val="20"/>
          <w:szCs w:val="20"/>
          <w:color w:val="auto"/>
        </w:rPr>
      </w:pPr>
    </w:p>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t>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5.6 LIMITATIONS ON SUITS BY SECURITY HOLDERS</w:t>
      </w:r>
    </w:p>
    <w:p>
      <w:pPr>
        <w:spacing w:after="0" w:line="178" w:lineRule="exact"/>
        <w:rPr>
          <w:sz w:val="20"/>
          <w:szCs w:val="20"/>
          <w:color w:val="auto"/>
        </w:rPr>
      </w:pPr>
    </w:p>
    <w:p>
      <w:pPr>
        <w:ind w:left="200" w:right="239" w:firstLine="344"/>
        <w:spacing w:after="0" w:line="253"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to institute any action or proceeding at law or in equity or in bankruptcy or otherwise upon or under or with respect to this Indenture or such Security, or for the appointment of a trustee, receiver, liquidator, custodian or other similar official or for any other remedy hereunder or thereunder, unless (a) an Event of Default has occurred and is continuing and such Holder previously shall have given to a Responsible Officer of the Trustee written notice of an Event of Default with respect to Securities of such series and of the continuance thereof, as hereinbefore provided, (b) the Holders of not less than [ ]% in aggregate principal amount of the Securities of such affected series then Outstanding (treated as a single class) shall have made written request upon the Trustee to institute such action or proceedings in its own name as Trustee hereunder and shall have offered to the Trustee security or indemnity reasonably satisfactory to it against the costs, expenses and liabilities to be incurred therein or thereby, (c) the Trustee for [ ] days after its receipt of such notice, request and offer of indemnity shall have failed to institute any such action or proceeding, and (d) no direction inconsistent with such written request shall have been given to the Trustee pursuant to Section 5.9;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or any Security to affect, disturb or prejudice the rights of any other such taker or Holder of Securities, or to obtain or seek to obtain priority over or preference to any other such taker or Holder or to enforce any right under this Indenture or any Security,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5.7 UNCONDITIONAL RIGHT OF SECURITYHOLDERS TO INSTITUTE CERTAIN SUITS</w:t>
      </w:r>
    </w:p>
    <w:p>
      <w:pPr>
        <w:spacing w:after="0" w:line="178" w:lineRule="exact"/>
        <w:rPr>
          <w:sz w:val="20"/>
          <w:szCs w:val="20"/>
          <w:color w:val="auto"/>
        </w:rPr>
      </w:pPr>
    </w:p>
    <w:p>
      <w:pPr>
        <w:ind w:left="200" w:right="219" w:firstLine="344"/>
        <w:spacing w:after="0" w:line="262" w:lineRule="auto"/>
        <w:rPr>
          <w:sz w:val="20"/>
          <w:szCs w:val="20"/>
          <w:color w:val="auto"/>
        </w:rPr>
      </w:pPr>
      <w:r>
        <w:rPr>
          <w:rFonts w:ascii="Times New Roman" w:cs="Times New Roman" w:eastAsia="Times New Roman" w:hAnsi="Times New Roman"/>
          <w:sz w:val="14"/>
          <w:szCs w:val="14"/>
          <w:color w:val="auto"/>
        </w:rPr>
        <w:t>Notwithstanding any other provision in this Indenture and any provision of any Security, the right of any Holder of any Security to receive payment of the principal of and interest on such Security on or after the respective due dates expressed in such Security or the applicable redemption dates provided for in such Security, or to institute suit for the enforcement of any such payment on or after such respective dates, shall not be impaired or affected without the consent of such Holder.</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5.8 POWERS AND REMEDIES CUMULATIVE; DELAY OR OMISSION NOT WAIVER OF DEFAULT</w:t>
      </w:r>
    </w:p>
    <w:p>
      <w:pPr>
        <w:spacing w:after="0" w:line="178" w:lineRule="exact"/>
        <w:rPr>
          <w:sz w:val="20"/>
          <w:szCs w:val="20"/>
          <w:color w:val="auto"/>
        </w:rPr>
      </w:pPr>
    </w:p>
    <w:p>
      <w:pPr>
        <w:ind w:left="200" w:right="359" w:firstLine="344"/>
        <w:spacing w:after="0" w:line="262" w:lineRule="auto"/>
        <w:rPr>
          <w:sz w:val="20"/>
          <w:szCs w:val="20"/>
          <w:color w:val="auto"/>
        </w:rPr>
      </w:pPr>
      <w:r>
        <w:rPr>
          <w:rFonts w:ascii="Times New Roman" w:cs="Times New Roman" w:eastAsia="Times New Roman" w:hAnsi="Times New Roman"/>
          <w:sz w:val="14"/>
          <w:szCs w:val="14"/>
          <w:color w:val="auto"/>
        </w:rPr>
        <w:t>Except as provided in Section 5.6,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0" w:lineRule="exact"/>
        <w:rPr>
          <w:sz w:val="20"/>
          <w:szCs w:val="20"/>
          <w:color w:val="auto"/>
        </w:rPr>
      </w:pPr>
    </w:p>
    <w:p>
      <w:pPr>
        <w:ind w:left="200" w:right="299" w:firstLine="344"/>
        <w:spacing w:after="0" w:line="262" w:lineRule="auto"/>
        <w:rPr>
          <w:sz w:val="20"/>
          <w:szCs w:val="20"/>
          <w:color w:val="auto"/>
        </w:rPr>
      </w:pPr>
      <w:r>
        <w:rPr>
          <w:rFonts w:ascii="Times New Roman" w:cs="Times New Roman" w:eastAsia="Times New Roman" w:hAnsi="Times New Roman"/>
          <w:sz w:val="14"/>
          <w:szCs w:val="14"/>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Every power and remedy given by this Indenture, any Security or law to the Trustee or to the Holders of Securities may be exercised from time to time, and as often as shall be deemed expedient, by the Trustee or, subject to Section 5.6, by the Holders of Securities.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5.9 CONTROL BY HOLDERS OF SECURITIES</w:t>
      </w:r>
    </w:p>
    <w:p>
      <w:pPr>
        <w:spacing w:after="0" w:line="178" w:lineRule="exact"/>
        <w:rPr>
          <w:sz w:val="20"/>
          <w:szCs w:val="20"/>
          <w:color w:val="auto"/>
        </w:rPr>
      </w:pPr>
    </w:p>
    <w:p>
      <w:pPr>
        <w:ind w:left="200" w:right="299" w:firstLine="344"/>
        <w:spacing w:after="0" w:line="255"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each series affected (with each such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6.1) the Trustee shall have the right to decline to follow any such direction if (a) the Trustee, being advised by counsel, shall determine that the action or proceeding so directed may not lawfully be taken; (b) if the Trustee shall determine in good faith that the action or proceedings so directed would involve the Trustee in personal liability; or (c) if the Trustee in good faith shall so determine that the actions or forbearances specified in or pursuant to such direction would be unduly prejudicial to the interests of Holders of the Securities of all affected series not joining in the giving of said direction, it being understood that (subject to Section 6.1) the Trustee shall have no duty to ascertain whether or not such actions or forbearances are unduly prejudicial to such Holders.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75" w:name="page76"/>
    <w:bookmarkEnd w:id="75"/>
    <w:p>
      <w:pPr>
        <w:ind w:left="200" w:right="439" w:firstLine="34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Nothing in this Indenture shall impair the right of the Trustee in its discretion to take any action deemed proper by the Trustee and which is not inconsistent with such direction or directions by Securityholders.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5.10 WAIVER OF PAST DEFAULTS</w:t>
      </w:r>
    </w:p>
    <w:p>
      <w:pPr>
        <w:spacing w:after="0" w:line="178" w:lineRule="exact"/>
        <w:rPr>
          <w:sz w:val="20"/>
          <w:szCs w:val="20"/>
          <w:color w:val="auto"/>
        </w:rPr>
      </w:pPr>
    </w:p>
    <w:p>
      <w:pPr>
        <w:ind w:left="200" w:right="339" w:firstLine="344"/>
        <w:spacing w:after="0" w:line="256" w:lineRule="auto"/>
        <w:rPr>
          <w:sz w:val="20"/>
          <w:szCs w:val="20"/>
          <w:color w:val="auto"/>
        </w:rPr>
      </w:pPr>
      <w:r>
        <w:rPr>
          <w:rFonts w:ascii="Times New Roman" w:cs="Times New Roman" w:eastAsia="Times New Roman" w:hAnsi="Times New Roman"/>
          <w:sz w:val="14"/>
          <w:szCs w:val="14"/>
          <w:color w:val="auto"/>
        </w:rPr>
        <w:t>Prior to the declaration of acceleration of the maturity of the Securities of any series as provided in Section 5.1, the Holders of a majority in aggregate principal amount of the Securities of such series at the time Outstanding (voting as a single class) may on behalf of the Holders of all such Securities waive any past default or Event of Default described in Section 5.1 and its consequences, except a default in respect of a covenant or provision hereof which cannot be modified or amended without the consent of the Holder of each Security affected. In the case of any such waiver, the Issuer, the Trustee and the Holders of all such Securities shall be restored to their former positions and rights hereunder, respectively, and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5.11 TRUSTEE TO GIVE NOTICE OF DEFAULT, BUT MAY WITHHOLD IN CERTAIN CIRCUMSTANCES</w:t>
      </w:r>
    </w:p>
    <w:p>
      <w:pPr>
        <w:spacing w:after="0" w:line="178" w:lineRule="exact"/>
        <w:rPr>
          <w:sz w:val="20"/>
          <w:szCs w:val="20"/>
          <w:color w:val="auto"/>
        </w:rPr>
      </w:pPr>
    </w:p>
    <w:p>
      <w:pPr>
        <w:ind w:left="200" w:right="219" w:firstLine="344"/>
        <w:spacing w:after="0" w:line="256" w:lineRule="auto"/>
        <w:rPr>
          <w:sz w:val="20"/>
          <w:szCs w:val="20"/>
          <w:color w:val="auto"/>
        </w:rPr>
      </w:pPr>
      <w:r>
        <w:rPr>
          <w:rFonts w:ascii="Times New Roman" w:cs="Times New Roman" w:eastAsia="Times New Roman" w:hAnsi="Times New Roman"/>
          <w:sz w:val="14"/>
          <w:szCs w:val="14"/>
          <w:color w:val="auto"/>
        </w:rPr>
        <w:t>The Trustee shall, within ninety (90) days after the occurrence of a default with respect to the Securities of any series, give written notice of all defaults with respect to that series known to a Responsible Officer to all Holders of Securities of such series in the manner and to the extent provided in Section 313(c) of the Trust Indenture Act, unless such defaults shall have been cured before the sending of such notice (the term “default” for the purpose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the Trustee shall be protected in withholding such notice if and so long as it in good faith determines that the withholding of such notice is in the interests of the Securityholders of such series.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5.12 RIGHT OF COURT TO REQUIRE FILING OF UNDERTAKING TO PAY COSTS</w:t>
      </w:r>
    </w:p>
    <w:p>
      <w:pPr>
        <w:spacing w:after="0" w:line="178" w:lineRule="exact"/>
        <w:rPr>
          <w:sz w:val="20"/>
          <w:szCs w:val="20"/>
          <w:color w:val="auto"/>
        </w:rPr>
      </w:pPr>
    </w:p>
    <w:p>
      <w:pPr>
        <w:ind w:left="200" w:right="239" w:firstLine="344"/>
        <w:spacing w:after="0" w:line="254"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 (c) or (f) of Section 5.1 (if the suit relates to Securities of more than one but less than all series), 10% in aggregate principal amount of Securities then Outstanding and affected thereby, or in the case of any suit relating to or arising under clause (c) or (f) (if the suit under clause (c) or (f) relates to all the Securities then Outstanding), or (d) or (e) of Section 5.1,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1"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200900" cy="32385"/>
                    </a:xfrm>
                    <a:prstGeom prst="rect">
                      <a:avLst/>
                    </a:prstGeom>
                    <a:noFill/>
                  </pic:spPr>
                </pic:pic>
              </a:graphicData>
            </a:graphic>
          </wp:anchor>
        </w:drawing>
        <w:t>ARTICLE VI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6.1 DUTIES AND RESPONSIBILITIES OF THE TRUSTEE; DURING DEFAULT; PRIOR TO DEFAULT</w:t>
      </w:r>
    </w:p>
    <w:p>
      <w:pPr>
        <w:spacing w:after="0" w:line="94" w:lineRule="exact"/>
        <w:rPr>
          <w:sz w:val="20"/>
          <w:szCs w:val="20"/>
          <w:color w:val="auto"/>
        </w:rPr>
      </w:pPr>
    </w:p>
    <w:p>
      <w:pPr>
        <w:ind w:left="200" w:right="239" w:firstLine="344"/>
        <w:spacing w:after="0" w:line="258" w:lineRule="auto"/>
        <w:rPr>
          <w:sz w:val="20"/>
          <w:szCs w:val="20"/>
          <w:color w:val="auto"/>
        </w:rPr>
      </w:pPr>
      <w:r>
        <w:rPr>
          <w:rFonts w:ascii="Times New Roman" w:cs="Times New Roman" w:eastAsia="Times New Roman" w:hAnsi="Times New Roman"/>
          <w:sz w:val="14"/>
          <w:szCs w:val="14"/>
          <w:color w:val="auto"/>
        </w:rPr>
        <w:t>Prior to the occurrence of an Event of Default with respect to the Securities of a particular series and after the curing or waiving of all Events of Default which may have occurred with respect to such series, the Trustee undertakes to perform such duties and only such duties as are specifically set forth in this Indenture with respect to such series of Securities. In case an Event of Default with respect to the Securities of a series has occurred and has not been cured or waived and is known to a Responsible Officer, the Trustee shall exercise with respect to such series of Securities such of the rights and powers vested in it by this Indenture with respect to such series of Securities, and use the same degree of care and skill in their exercise, as a prudent person would exercise or use under the circumstances in the conduct of his or her own affairs.</w:t>
      </w:r>
    </w:p>
    <w:p>
      <w:pPr>
        <w:spacing w:after="0" w:line="142" w:lineRule="exact"/>
        <w:rPr>
          <w:sz w:val="20"/>
          <w:szCs w:val="20"/>
          <w:color w:val="auto"/>
        </w:rPr>
      </w:pPr>
    </w:p>
    <w:p>
      <w:pPr>
        <w:ind w:left="200" w:right="319" w:firstLine="344"/>
        <w:spacing w:after="0" w:line="284" w:lineRule="auto"/>
        <w:rPr>
          <w:sz w:val="20"/>
          <w:szCs w:val="20"/>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51" w:lineRule="exact"/>
        <w:rPr>
          <w:sz w:val="20"/>
          <w:szCs w:val="20"/>
          <w:color w:val="auto"/>
        </w:rPr>
      </w:pPr>
    </w:p>
    <w:p>
      <w:pPr>
        <w:ind w:left="960" w:right="539" w:hanging="420"/>
        <w:spacing w:after="0" w:line="284" w:lineRule="auto"/>
        <w:tabs>
          <w:tab w:leader="none" w:pos="9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known to a Responsible Officer with respect to the Securities of any series and after the curing or waiving of all such Events of Default with respect to such series which may have occurred:</w:t>
      </w:r>
    </w:p>
    <w:p>
      <w:pPr>
        <w:spacing w:after="0" w:line="51" w:lineRule="exact"/>
        <w:rPr>
          <w:rFonts w:ascii="Times New Roman" w:cs="Times New Roman" w:eastAsia="Times New Roman" w:hAnsi="Times New Roman"/>
          <w:sz w:val="14"/>
          <w:szCs w:val="14"/>
          <w:color w:val="auto"/>
        </w:rPr>
      </w:pPr>
    </w:p>
    <w:p>
      <w:pPr>
        <w:ind w:left="1740" w:right="279" w:hanging="420"/>
        <w:spacing w:after="0" w:line="262" w:lineRule="auto"/>
        <w:tabs>
          <w:tab w:leader="none" w:pos="17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66" w:lineRule="exact"/>
        <w:rPr>
          <w:rFonts w:ascii="Times New Roman" w:cs="Times New Roman" w:eastAsia="Times New Roman" w:hAnsi="Times New Roman"/>
          <w:sz w:val="14"/>
          <w:szCs w:val="14"/>
          <w:color w:val="auto"/>
        </w:rPr>
      </w:pPr>
    </w:p>
    <w:p>
      <w:pPr>
        <w:ind w:left="1740" w:right="419" w:hanging="420"/>
        <w:spacing w:after="0" w:line="258" w:lineRule="auto"/>
        <w:tabs>
          <w:tab w:leader="none" w:pos="17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negligence and willful misconduct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68" w:lineRule="exact"/>
        <w:rPr>
          <w:rFonts w:ascii="Times New Roman" w:cs="Times New Roman" w:eastAsia="Times New Roman" w:hAnsi="Times New Roman"/>
          <w:sz w:val="14"/>
          <w:szCs w:val="14"/>
          <w:color w:val="auto"/>
        </w:rPr>
      </w:pPr>
    </w:p>
    <w:p>
      <w:pPr>
        <w:ind w:left="960" w:right="679" w:hanging="420"/>
        <w:spacing w:after="0" w:line="284" w:lineRule="auto"/>
        <w:tabs>
          <w:tab w:leader="none" w:pos="9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77" w:name="page78"/>
    <w:bookmarkEnd w:id="77"/>
    <w:p>
      <w:pPr>
        <w:ind w:left="960" w:right="279" w:hanging="420"/>
        <w:spacing w:after="0" w:line="268" w:lineRule="auto"/>
        <w:tabs>
          <w:tab w:leader="none" w:pos="9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Trustee shall not be liable with respect to any action taken or omitted to be taken by it in good faith in accordance with the direction of the Holders pursuant to Section 5.9 relating to the time, method and place of conducting any proceeding for any remedy available to the Trustee, or exercising any trust or power conferred upon the Trustee, under this Indenture.</w:t>
      </w:r>
    </w:p>
    <w:p>
      <w:pPr>
        <w:spacing w:after="0" w:line="135" w:lineRule="exact"/>
        <w:rPr>
          <w:sz w:val="20"/>
          <w:szCs w:val="20"/>
          <w:color w:val="auto"/>
        </w:rPr>
      </w:pPr>
    </w:p>
    <w:p>
      <w:pPr>
        <w:jc w:val="both"/>
        <w:ind w:left="200" w:right="319" w:firstLine="344"/>
        <w:spacing w:after="0" w:line="268" w:lineRule="auto"/>
        <w:rPr>
          <w:sz w:val="20"/>
          <w:szCs w:val="20"/>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provisions of this Section 6.1 are in furtherance of and subject to Section 315 of the Trust Indenture Act.</w:t>
      </w:r>
    </w:p>
    <w:p>
      <w:pPr>
        <w:spacing w:after="0" w:line="34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SECTION 6.2 CERTAIN RIGHTS OF THE TRUSTEE</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furtherance of and subject to the Trust Indenture Act, and subject to Section 6.1:</w:t>
      </w:r>
    </w:p>
    <w:p>
      <w:pPr>
        <w:spacing w:after="0" w:line="103" w:lineRule="exact"/>
        <w:rPr>
          <w:sz w:val="20"/>
          <w:szCs w:val="20"/>
          <w:color w:val="auto"/>
        </w:rPr>
      </w:pPr>
    </w:p>
    <w:p>
      <w:pPr>
        <w:ind w:left="960" w:right="279" w:hanging="420"/>
        <w:spacing w:after="0" w:line="268"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and shall be fully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61" w:lineRule="exact"/>
        <w:rPr>
          <w:rFonts w:ascii="Times New Roman" w:cs="Times New Roman" w:eastAsia="Times New Roman" w:hAnsi="Times New Roman"/>
          <w:sz w:val="14"/>
          <w:szCs w:val="14"/>
          <w:color w:val="auto"/>
        </w:rPr>
      </w:pPr>
    </w:p>
    <w:p>
      <w:pPr>
        <w:ind w:left="960" w:right="219" w:hanging="420"/>
        <w:spacing w:after="0" w:line="262"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the Issuer mentioned herein shall be sufficiently evidenced by an Officers’ Certificate or Issuer Order (unless other evidence in respect thereof is specifically prescribed herein or in the terms established in respect of any series); and any resolution of the Board of Directors may be evidenced to the Trustee by a copy thereof certified by the secretary or an assistant secretary of the Issuer;</w:t>
      </w:r>
    </w:p>
    <w:p>
      <w:pPr>
        <w:spacing w:after="0" w:line="66" w:lineRule="exact"/>
        <w:rPr>
          <w:rFonts w:ascii="Times New Roman" w:cs="Times New Roman" w:eastAsia="Times New Roman" w:hAnsi="Times New Roman"/>
          <w:sz w:val="14"/>
          <w:szCs w:val="14"/>
          <w:color w:val="auto"/>
        </w:rPr>
      </w:pPr>
    </w:p>
    <w:p>
      <w:pPr>
        <w:ind w:left="960" w:right="399" w:hanging="420"/>
        <w:spacing w:after="0" w:line="268"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any advice or any Opinion of Counsel shall be full and complete authorization and protection in respect of any action taken, suffered or omitted to be taken by it hereunder in good faith and in reliance thereon in accordance with such advice or Opinion of Counsel;</w:t>
      </w:r>
    </w:p>
    <w:p>
      <w:pPr>
        <w:spacing w:after="0" w:line="61" w:lineRule="exact"/>
        <w:rPr>
          <w:rFonts w:ascii="Times New Roman" w:cs="Times New Roman" w:eastAsia="Times New Roman" w:hAnsi="Times New Roman"/>
          <w:sz w:val="14"/>
          <w:szCs w:val="14"/>
          <w:color w:val="auto"/>
        </w:rPr>
      </w:pPr>
    </w:p>
    <w:p>
      <w:pPr>
        <w:ind w:left="960" w:right="419" w:hanging="420"/>
        <w:spacing w:after="0" w:line="262"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expenses and liabilities which might be incurred therein or thereby;</w:t>
      </w:r>
    </w:p>
    <w:p>
      <w:pPr>
        <w:spacing w:after="0" w:line="66" w:lineRule="exact"/>
        <w:rPr>
          <w:rFonts w:ascii="Times New Roman" w:cs="Times New Roman" w:eastAsia="Times New Roman" w:hAnsi="Times New Roman"/>
          <w:sz w:val="14"/>
          <w:szCs w:val="14"/>
          <w:color w:val="auto"/>
        </w:rPr>
      </w:pPr>
    </w:p>
    <w:p>
      <w:pPr>
        <w:ind w:left="960" w:right="239" w:hanging="420"/>
        <w:spacing w:after="0" w:line="284"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by it in good faith and believed by it to be authorized or within the discretion, rights or powers conferred upon it by this Indenture;</w:t>
      </w:r>
    </w:p>
    <w:p>
      <w:pPr>
        <w:spacing w:after="0" w:line="51" w:lineRule="exact"/>
        <w:rPr>
          <w:rFonts w:ascii="Times New Roman" w:cs="Times New Roman" w:eastAsia="Times New Roman" w:hAnsi="Times New Roman"/>
          <w:sz w:val="14"/>
          <w:szCs w:val="14"/>
          <w:color w:val="auto"/>
        </w:rPr>
      </w:pPr>
    </w:p>
    <w:p>
      <w:pPr>
        <w:ind w:left="960" w:right="259" w:hanging="420"/>
        <w:spacing w:after="0" w:line="255"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(i) requested in writing so to do by the Holders of not less than a majority in aggregate principal amount of the Securities of all series affected then Outstanding (treated as one class) or (ii) otherwise provided in the terms of any series of Securities pursuant to Section 2.3;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1" w:right="1440" w:bottom="1440" w:gutter="0" w:footer="0" w:header="0"/>
        </w:sectPr>
      </w:pPr>
    </w:p>
    <w:bookmarkStart w:id="78" w:name="page79"/>
    <w:bookmarkEnd w:id="78"/>
    <w:p>
      <w:pPr>
        <w:jc w:val="both"/>
        <w:ind w:left="960" w:right="399" w:hanging="420"/>
        <w:spacing w:after="0" w:line="268" w:lineRule="auto"/>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Trustee may execute any of the trusts or powers hereunder or perform any duties hereunder either directly or by or through agents or attorneys not regularly in its employ and the Trustee shall not be responsible for any negligence or willful misconduct on the part of any such agent or attorney appointed with due care by it hereunder;</w:t>
      </w:r>
    </w:p>
    <w:p>
      <w:pPr>
        <w:spacing w:after="0" w:line="61" w:lineRule="exact"/>
        <w:rPr>
          <w:rFonts w:ascii="Times New Roman" w:cs="Times New Roman" w:eastAsia="Times New Roman" w:hAnsi="Times New Roman"/>
          <w:sz w:val="14"/>
          <w:szCs w:val="14"/>
          <w:color w:val="auto"/>
        </w:rPr>
      </w:pPr>
    </w:p>
    <w:p>
      <w:pPr>
        <w:jc w:val="both"/>
        <w:ind w:left="960" w:right="399" w:hanging="420"/>
        <w:spacing w:after="0" w:line="268" w:lineRule="auto"/>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deemed to have notice of any Event of Default unless a Responsible Officer of the Trustee has actual knowledge thereof or unless written notice of any event which is in fact an Event of Default is received by the Trustee at the Corporate Trust Office and such notice references the Securities, the Issuer or this Indenture;</w:t>
      </w:r>
    </w:p>
    <w:p>
      <w:pPr>
        <w:spacing w:after="0" w:line="61" w:lineRule="exact"/>
        <w:rPr>
          <w:rFonts w:ascii="Times New Roman" w:cs="Times New Roman" w:eastAsia="Times New Roman" w:hAnsi="Times New Roman"/>
          <w:sz w:val="14"/>
          <w:szCs w:val="14"/>
          <w:color w:val="auto"/>
        </w:rPr>
      </w:pPr>
    </w:p>
    <w:p>
      <w:pPr>
        <w:ind w:left="960" w:right="399" w:hanging="420"/>
        <w:spacing w:after="0" w:line="268" w:lineRule="auto"/>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61" w:lineRule="exact"/>
        <w:rPr>
          <w:rFonts w:ascii="Times New Roman" w:cs="Times New Roman" w:eastAsia="Times New Roman" w:hAnsi="Times New Roman"/>
          <w:sz w:val="14"/>
          <w:szCs w:val="14"/>
          <w:color w:val="auto"/>
        </w:rPr>
      </w:pPr>
    </w:p>
    <w:p>
      <w:pPr>
        <w:ind w:left="960" w:right="279" w:hanging="420"/>
        <w:spacing w:after="0" w:line="268" w:lineRule="auto"/>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Issuer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61" w:lineRule="exact"/>
        <w:rPr>
          <w:rFonts w:ascii="Times New Roman" w:cs="Times New Roman" w:eastAsia="Times New Roman" w:hAnsi="Times New Roman"/>
          <w:sz w:val="14"/>
          <w:szCs w:val="14"/>
          <w:color w:val="auto"/>
        </w:rPr>
      </w:pPr>
    </w:p>
    <w:p>
      <w:pPr>
        <w:ind w:left="960" w:right="299" w:hanging="420"/>
        <w:spacing w:after="0" w:line="268" w:lineRule="auto"/>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61"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and duties hereunder;</w:t>
      </w:r>
    </w:p>
    <w:p>
      <w:pPr>
        <w:spacing w:after="0" w:line="102"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have any duty to calculate or verify any calculations; and</w:t>
      </w:r>
    </w:p>
    <w:p>
      <w:pPr>
        <w:spacing w:after="0" w:line="103" w:lineRule="exact"/>
        <w:rPr>
          <w:sz w:val="20"/>
          <w:szCs w:val="20"/>
          <w:color w:val="auto"/>
        </w:rPr>
      </w:pPr>
    </w:p>
    <w:p>
      <w:pPr>
        <w:ind w:left="960" w:right="239" w:hanging="420"/>
        <w:spacing w:after="0" w:line="284" w:lineRule="auto"/>
        <w:tabs>
          <w:tab w:leader="none" w:pos="9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rights or powers of the Trustee to take or refrain from taking any actions enumerated in this Indenture shall not be construed as a duty of the Trustee.</w:t>
      </w:r>
    </w:p>
    <w:p>
      <w:pPr>
        <w:spacing w:after="0" w:line="292" w:lineRule="exact"/>
        <w:rPr>
          <w:sz w:val="20"/>
          <w:szCs w:val="20"/>
          <w:color w:val="auto"/>
        </w:rPr>
      </w:pPr>
    </w:p>
    <w:p>
      <w:pPr>
        <w:jc w:val="center"/>
        <w:ind w:left="1660" w:right="100"/>
        <w:spacing w:after="0" w:line="287" w:lineRule="auto"/>
        <w:rPr>
          <w:sz w:val="20"/>
          <w:szCs w:val="20"/>
          <w:color w:val="auto"/>
        </w:rPr>
      </w:pPr>
      <w:r>
        <w:rPr>
          <w:rFonts w:ascii="Times New Roman" w:cs="Times New Roman" w:eastAsia="Times New Roman" w:hAnsi="Times New Roman"/>
          <w:sz w:val="14"/>
          <w:szCs w:val="14"/>
          <w:b w:val="1"/>
          <w:bCs w:val="1"/>
          <w:color w:val="auto"/>
        </w:rPr>
        <w:t>SECTION 6.3 TRUSTEE NOT RESPONSIBLE FOR RECITALS, DISPOSITION OF SECURITIES OR APPLICATION OF PROCEEDS THEREOF</w:t>
      </w:r>
    </w:p>
    <w:p>
      <w:pPr>
        <w:spacing w:after="0" w:line="123" w:lineRule="exact"/>
        <w:rPr>
          <w:sz w:val="20"/>
          <w:szCs w:val="20"/>
          <w:color w:val="auto"/>
        </w:rPr>
      </w:pPr>
    </w:p>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t>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1"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6.4 TRUSTEE AND AGENTS MAY HOLD SECURITIES; COLLECTIONS, ETC.</w:t>
      </w:r>
    </w:p>
    <w:p>
      <w:pPr>
        <w:spacing w:after="0" w:line="178" w:lineRule="exact"/>
        <w:rPr>
          <w:sz w:val="20"/>
          <w:szCs w:val="20"/>
          <w:color w:val="auto"/>
        </w:rPr>
      </w:pPr>
    </w:p>
    <w:p>
      <w:pPr>
        <w:jc w:val="both"/>
        <w:ind w:left="200" w:right="419" w:firstLine="344"/>
        <w:spacing w:after="0" w:line="268" w:lineRule="auto"/>
        <w:rPr>
          <w:sz w:val="20"/>
          <w:szCs w:val="20"/>
          <w:color w:val="auto"/>
        </w:rPr>
      </w:pPr>
      <w:r>
        <w:rPr>
          <w:rFonts w:ascii="Times New Roman" w:cs="Times New Roman" w:eastAsia="Times New Roman" w:hAnsi="Times New Roman"/>
          <w:sz w:val="14"/>
          <w:szCs w:val="14"/>
          <w:color w:val="auto"/>
        </w:rPr>
        <w:t>The Trustee or any agent of the Issuer or of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6.5 MONEYS HELD BY TRUSTEE</w:t>
      </w:r>
    </w:p>
    <w:p>
      <w:pPr>
        <w:spacing w:after="0" w:line="178" w:lineRule="exact"/>
        <w:rPr>
          <w:sz w:val="20"/>
          <w:szCs w:val="20"/>
          <w:color w:val="auto"/>
        </w:rPr>
      </w:pPr>
    </w:p>
    <w:p>
      <w:pPr>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t>Subject to the provisions of Section 10.4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6.6 COMPENSATION AND INDEMNIFICATION OF TRUSTEE AND ITS PRIOR CLAIM</w:t>
      </w:r>
    </w:p>
    <w:p>
      <w:pPr>
        <w:spacing w:after="0" w:line="178" w:lineRule="exact"/>
        <w:rPr>
          <w:sz w:val="20"/>
          <w:szCs w:val="20"/>
          <w:color w:val="auto"/>
        </w:rPr>
      </w:pPr>
    </w:p>
    <w:p>
      <w:pPr>
        <w:ind w:left="200" w:right="219" w:firstLine="344"/>
        <w:spacing w:after="0" w:line="253" w:lineRule="auto"/>
        <w:rPr>
          <w:sz w:val="20"/>
          <w:szCs w:val="20"/>
          <w:color w:val="auto"/>
        </w:rPr>
      </w:pPr>
      <w:r>
        <w:rPr>
          <w:rFonts w:ascii="Times New Roman" w:cs="Times New Roman" w:eastAsia="Times New Roman" w:hAnsi="Times New Roman"/>
          <w:sz w:val="14"/>
          <w:szCs w:val="14"/>
          <w:color w:val="auto"/>
        </w:rPr>
        <w:t>The Issuer covenants and agrees to pay to the Trustee from time to time, and the Trustee shall be entitled to, such compensation as the Issuer and the Trustee shall agree in writing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own negligence or willful misconduct. The Issuer also covenants to indemnify each of the Trustee or any predecessor Trustee and their agents for, and to hold them harmless against, any and all loss, damage, claims, liability or expense, including taxes (other than taxes based upon, measured by or determined by the income of the Trustee), arising out of or in connection with the acceptance or administration of the trust or trusts hereunder, including the costs and expenses of defending itself against any claim (whether asserted by the Issuer, or any Holder or any other Person) or liability in connection with the exercise or performance of any of its powers or duties hereunder, or in connection with enforcing the provisions of this Section, except to the extent that such loss, damage, claim, liability or expense is determined to have been caused by its own negligence or willful misconduct. When the Trustee incurs expenses or renders services in connection with an Event of Default specified in</w:t>
      </w:r>
    </w:p>
    <w:p>
      <w:pPr>
        <w:spacing w:after="0" w:line="2"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4"/>
          <w:szCs w:val="14"/>
          <w:color w:val="auto"/>
        </w:rPr>
        <w:t>Section 5.1(d) or Section 5.1(e), the expenses (including the reasonable charges and expenses of its counsel) and the compensation for the services are intended to constitute expenses of administration under any applicable bankruptcy, insolvency or other similar law.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and the resignation or removal of the Trustee.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6.7 RIGHT OF TRUSTEE TO RELY ON OFFICERS’ CERTIFICATE, ETC.</w:t>
      </w:r>
    </w:p>
    <w:p>
      <w:pPr>
        <w:spacing w:after="0" w:line="178" w:lineRule="exact"/>
        <w:rPr>
          <w:sz w:val="20"/>
          <w:szCs w:val="20"/>
          <w:color w:val="auto"/>
        </w:rPr>
      </w:pPr>
    </w:p>
    <w:p>
      <w:pPr>
        <w:ind w:left="200" w:right="219" w:firstLine="344"/>
        <w:spacing w:after="0" w:line="258" w:lineRule="auto"/>
        <w:rPr>
          <w:sz w:val="20"/>
          <w:szCs w:val="20"/>
          <w:color w:val="auto"/>
        </w:rPr>
      </w:pPr>
      <w:r>
        <w:rPr>
          <w:rFonts w:ascii="Times New Roman" w:cs="Times New Roman" w:eastAsia="Times New Roman" w:hAnsi="Times New Roman"/>
          <w:sz w:val="14"/>
          <w:szCs w:val="14"/>
          <w:color w:val="auto"/>
        </w:rPr>
        <w:t>Subject to Sections 6.1 and 6.2,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by it under the provisions of this Indenture upon the faith thereof.</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6.8 INDENTURES NOT CREATING POTENTIAL CONFLICTING INTERESTS FOR THE TRUSTEE</w:t>
      </w:r>
    </w:p>
    <w:p>
      <w:pPr>
        <w:spacing w:after="0" w:line="178" w:lineRule="exact"/>
        <w:rPr>
          <w:sz w:val="20"/>
          <w:szCs w:val="20"/>
          <w:color w:val="auto"/>
        </w:rPr>
      </w:pPr>
    </w:p>
    <w:p>
      <w:pPr>
        <w:ind w:left="200" w:right="419" w:firstLine="344"/>
        <w:spacing w:after="0" w:line="284" w:lineRule="auto"/>
        <w:rPr>
          <w:sz w:val="20"/>
          <w:szCs w:val="20"/>
          <w:color w:val="auto"/>
        </w:rPr>
      </w:pPr>
      <w:r>
        <w:rPr>
          <w:rFonts w:ascii="Times New Roman" w:cs="Times New Roman" w:eastAsia="Times New Roman" w:hAnsi="Times New Roman"/>
          <w:sz w:val="14"/>
          <w:szCs w:val="14"/>
          <w:color w:val="auto"/>
        </w:rPr>
        <w:t>The following indentures are hereby specifically described for the purposes of Section 310(b)(1) of the Trust Indenture Act: this Indenture with respect to series of Securities that are of an equal priority.</w:t>
      </w:r>
    </w:p>
    <w:p>
      <w:pPr>
        <w:spacing w:after="0" w:line="29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SECTION 6.9 QUALIFICATION OF TRUSTEE: CONFLICTING INTERESTS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Trustee shall comply with Section 310(b) of the Trust Indenture Act.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6.10 PERSONS ELIGIBLE FOR APPOINTMENT AS TRUSTEE</w:t>
      </w:r>
    </w:p>
    <w:p>
      <w:pPr>
        <w:spacing w:after="0" w:line="178" w:lineRule="exact"/>
        <w:rPr>
          <w:sz w:val="20"/>
          <w:szCs w:val="20"/>
          <w:color w:val="auto"/>
        </w:rPr>
      </w:pPr>
    </w:p>
    <w:p>
      <w:pPr>
        <w:ind w:left="200" w:right="279" w:firstLine="344"/>
        <w:spacing w:after="0" w:line="256" w:lineRule="auto"/>
        <w:rPr>
          <w:sz w:val="20"/>
          <w:szCs w:val="20"/>
          <w:color w:val="auto"/>
        </w:rPr>
      </w:pPr>
      <w:r>
        <w:rPr>
          <w:rFonts w:ascii="Times New Roman" w:cs="Times New Roman" w:eastAsia="Times New Roman" w:hAnsi="Times New Roman"/>
          <w:sz w:val="14"/>
          <w:szCs w:val="14"/>
          <w:color w:val="auto"/>
        </w:rPr>
        <w:t>The Trustee for each series of Securities hereunder shall at all times be a corporation or banking association organized and doing business under the laws of the United States of America, any State thereof or the District of Columbia, having a combined capital and surplus of at least $50,000,000, and which is authorized under such laws to exercise corporate trust powers and is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In case at any time the Trustee shall cease to be eligible in accordance with the provisions of this Section, the Trustee shall resign immediately in the manner and with the effect specified in Section 6.11.</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provisions of this Section 6.10 are in furtherance of and subject to Section 310(a) of the Trust Indenture Act.</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6.11 RESIGNATION AND REMOVAL; APPOINTMENT OF SUCCESSOR TRUSTEE</w:t>
      </w:r>
    </w:p>
    <w:p>
      <w:pPr>
        <w:spacing w:after="0" w:line="105" w:lineRule="exact"/>
        <w:rPr>
          <w:sz w:val="20"/>
          <w:szCs w:val="20"/>
          <w:color w:val="auto"/>
        </w:rPr>
      </w:pPr>
    </w:p>
    <w:p>
      <w:pPr>
        <w:ind w:left="960" w:right="259" w:hanging="420"/>
        <w:spacing w:after="0" w:line="254" w:lineRule="auto"/>
        <w:tabs>
          <w:tab w:leader="none" w:pos="9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or any trustee or trustees hereafter appointed, may at any time resign with respect to one or more or all series of Securities by giving written notice of resignation to the Issuer and by sending notice of such resignation to the Holders of then Outstanding Registered Securities of each series affected in accordance with Applicable Procedures.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sending of such notice of resignation, the resigning trustee may petition any court of competent jurisdiction at the expense of the Issuer for the appointment of a successor trustee, or any Securityholder who has been a bona fide Holder of a Security or Securities of the applicable series for at least six months may, subject to the provisions of Section 5.12, on behalf of himself and all others similarly situated, petition any such court for the appointment of a successor trustee. Such court may thereupon, after such notice, if any, as it may deem proper and prescribe, appoint a successor trustee.</w:t>
      </w:r>
    </w:p>
    <w:p>
      <w:pPr>
        <w:spacing w:after="0" w:line="76"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any of the following shall occur:</w:t>
      </w:r>
    </w:p>
    <w:p>
      <w:pPr>
        <w:spacing w:after="0" w:line="102" w:lineRule="exact"/>
        <w:rPr>
          <w:rFonts w:ascii="Times New Roman" w:cs="Times New Roman" w:eastAsia="Times New Roman" w:hAnsi="Times New Roman"/>
          <w:sz w:val="14"/>
          <w:szCs w:val="14"/>
          <w:color w:val="auto"/>
        </w:rPr>
      </w:pPr>
    </w:p>
    <w:p>
      <w:pPr>
        <w:ind w:left="1740" w:right="299" w:hanging="420"/>
        <w:spacing w:after="0" w:line="284" w:lineRule="auto"/>
        <w:tabs>
          <w:tab w:leader="none" w:pos="17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Section 310(b) of the Trust Indenture Act with respect to any series of Securities after written request therefor by the Issuer or by any Securityholder;</w:t>
      </w:r>
    </w:p>
    <w:p>
      <w:pPr>
        <w:spacing w:after="0" w:line="51" w:lineRule="exact"/>
        <w:rPr>
          <w:rFonts w:ascii="Times New Roman" w:cs="Times New Roman" w:eastAsia="Times New Roman" w:hAnsi="Times New Roman"/>
          <w:sz w:val="14"/>
          <w:szCs w:val="14"/>
          <w:color w:val="auto"/>
        </w:rPr>
      </w:pPr>
    </w:p>
    <w:p>
      <w:pPr>
        <w:ind w:left="1740" w:right="499" w:hanging="420"/>
        <w:spacing w:after="0" w:line="268" w:lineRule="auto"/>
        <w:tabs>
          <w:tab w:leader="none" w:pos="17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cease to be eligible in accordance with the provisions of Section 6.10 and Section 310(a) of the Trust Indenture Act and shall fail to resign after written request therefor by the Issuer or by any Securityholder who has been a bona fide Holder of a Security or Securities of such series for at least six months; or</w:t>
      </w:r>
    </w:p>
    <w:p>
      <w:pPr>
        <w:spacing w:after="0" w:line="61" w:lineRule="exact"/>
        <w:rPr>
          <w:rFonts w:ascii="Times New Roman" w:cs="Times New Roman" w:eastAsia="Times New Roman" w:hAnsi="Times New Roman"/>
          <w:sz w:val="14"/>
          <w:szCs w:val="14"/>
          <w:color w:val="auto"/>
        </w:rPr>
      </w:pPr>
    </w:p>
    <w:p>
      <w:pPr>
        <w:ind w:left="1740" w:right="219" w:hanging="420"/>
        <w:spacing w:after="0" w:line="254" w:lineRule="auto"/>
        <w:tabs>
          <w:tab w:leader="none" w:pos="17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 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the provisions of Section 315(e) of the Trust Indenture Act,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so prescribe, remove the Trustee and appoint a successor trustee.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9" w:right="1440" w:bottom="1440" w:gutter="0" w:footer="0" w:header="0"/>
        </w:sectPr>
      </w:pPr>
    </w:p>
    <w:bookmarkStart w:id="82" w:name="page83"/>
    <w:bookmarkEnd w:id="82"/>
    <w:p>
      <w:pPr>
        <w:jc w:val="both"/>
        <w:ind w:left="960" w:right="219" w:hanging="420"/>
        <w:spacing w:after="0" w:line="262"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7.1 of the action in that regard taken by the Securityholders by notice in writing not less than 30 days prior to the effective date of such removal.</w:t>
      </w:r>
    </w:p>
    <w:p>
      <w:pPr>
        <w:spacing w:after="0" w:line="66" w:lineRule="exact"/>
        <w:rPr>
          <w:rFonts w:ascii="Times New Roman" w:cs="Times New Roman" w:eastAsia="Times New Roman" w:hAnsi="Times New Roman"/>
          <w:sz w:val="14"/>
          <w:szCs w:val="14"/>
          <w:color w:val="auto"/>
        </w:rPr>
      </w:pPr>
    </w:p>
    <w:p>
      <w:pPr>
        <w:ind w:left="960" w:right="279" w:hanging="420"/>
        <w:spacing w:after="0" w:line="268"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resignation or removal of the Trustee with respect to any series and any appointment of a successor trustee with respect to such series pursuant to any of the provisions of this Section 6.11 shall become effective upon acceptance of appointment by the successor trustee as provided in Section 6.12.</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6.12 ACCEPTANCE OF APPOINTMENT BY SUCCESSOR TRUSTEE</w:t>
      </w:r>
    </w:p>
    <w:p>
      <w:pPr>
        <w:spacing w:after="0" w:line="178" w:lineRule="exact"/>
        <w:rPr>
          <w:sz w:val="20"/>
          <w:szCs w:val="20"/>
          <w:color w:val="auto"/>
        </w:rPr>
      </w:pPr>
    </w:p>
    <w:p>
      <w:pPr>
        <w:ind w:left="200" w:right="279" w:firstLine="344"/>
        <w:spacing w:after="0" w:line="255" w:lineRule="auto"/>
        <w:rPr>
          <w:sz w:val="20"/>
          <w:szCs w:val="20"/>
          <w:color w:val="auto"/>
        </w:rPr>
      </w:pPr>
      <w:r>
        <w:rPr>
          <w:rFonts w:ascii="Times New Roman" w:cs="Times New Roman" w:eastAsia="Times New Roman" w:hAnsi="Times New Roman"/>
          <w:sz w:val="14"/>
          <w:szCs w:val="14"/>
          <w:color w:val="auto"/>
        </w:rPr>
        <w:t>Any successor trustee appointed as provided in Section 6.11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6.6.</w:t>
      </w:r>
    </w:p>
    <w:p>
      <w:pPr>
        <w:spacing w:after="0" w:line="145" w:lineRule="exact"/>
        <w:rPr>
          <w:sz w:val="20"/>
          <w:szCs w:val="20"/>
          <w:color w:val="auto"/>
        </w:rPr>
      </w:pPr>
    </w:p>
    <w:p>
      <w:pPr>
        <w:ind w:left="200" w:right="279" w:firstLine="344"/>
        <w:spacing w:after="0" w:line="256" w:lineRule="auto"/>
        <w:rPr>
          <w:sz w:val="20"/>
          <w:szCs w:val="20"/>
          <w:color w:val="auto"/>
        </w:rPr>
      </w:pPr>
      <w:r>
        <w:rPr>
          <w:rFonts w:ascii="Times New Roman" w:cs="Times New Roman" w:eastAsia="Times New Roman" w:hAnsi="Times New Roman"/>
          <w:sz w:val="14"/>
          <w:szCs w:val="14"/>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7" w:lineRule="exact"/>
        <w:rPr>
          <w:sz w:val="20"/>
          <w:szCs w:val="20"/>
          <w:color w:val="auto"/>
        </w:rPr>
      </w:pPr>
    </w:p>
    <w:p>
      <w:pPr>
        <w:jc w:val="both"/>
        <w:ind w:left="200" w:right="399" w:firstLine="344"/>
        <w:spacing w:after="0" w:line="284" w:lineRule="auto"/>
        <w:rPr>
          <w:sz w:val="20"/>
          <w:szCs w:val="20"/>
          <w:color w:val="auto"/>
        </w:rPr>
      </w:pPr>
      <w:r>
        <w:rPr>
          <w:rFonts w:ascii="Times New Roman" w:cs="Times New Roman" w:eastAsia="Times New Roman" w:hAnsi="Times New Roman"/>
          <w:sz w:val="14"/>
          <w:szCs w:val="14"/>
          <w:color w:val="auto"/>
        </w:rPr>
        <w:t>No successor trustee with respect to any series of Securities shall accept appointment as provided in this Section 6.12 unless at the time of such acceptance such successor trustee shall be qualified under Section 310(b) of the Trust Indenture Act and eligible under the provisions of Section 6.10.</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1" w:right="1440" w:bottom="1440" w:gutter="0" w:footer="0" w:header="0"/>
        </w:sectPr>
      </w:pPr>
    </w:p>
    <w:bookmarkStart w:id="83" w:name="page84"/>
    <w:bookmarkEnd w:id="83"/>
    <w:p>
      <w:pPr>
        <w:ind w:left="200" w:right="259" w:firstLine="344"/>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200900" cy="32385"/>
                    </a:xfrm>
                    <a:prstGeom prst="rect">
                      <a:avLst/>
                    </a:prstGeom>
                    <a:noFill/>
                  </pic:spPr>
                </pic:pic>
              </a:graphicData>
            </a:graphic>
          </wp:anchor>
        </w:drawing>
        <w:t>Upon acceptance of appointment by any successor trustee as provided in this Section 6.12, the Issuer shall give notice thereof to the Holders by sending such notice to such Holders in accordance with Applicable Procedures. If the acceptance of appointment is substantially contemporaneous with the resignation, then the notice called for by the preceding sentence may be combined with the notice called for by Section 6.11. If the Issuer fails to give such notice within ten days after acceptance of appointment by the successor trustee, the successor trustee shall cause such notice to be given at the expense of the Issuer. The resigning Trustee shall have no responsibility or liability for any action or inaction of a successor Trustee.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6.13 MERGER, CONVERSION, CONSOLIDATION OR SUCCESSION TO BUSINESS OF TRUSTEE</w:t>
      </w:r>
    </w:p>
    <w:p>
      <w:pPr>
        <w:spacing w:after="0" w:line="178" w:lineRule="exact"/>
        <w:rPr>
          <w:sz w:val="20"/>
          <w:szCs w:val="20"/>
          <w:color w:val="auto"/>
        </w:rPr>
      </w:pPr>
    </w:p>
    <w:p>
      <w:pPr>
        <w:ind w:left="200" w:right="339" w:firstLine="344"/>
        <w:spacing w:after="0" w:line="258" w:lineRule="auto"/>
        <w:rPr>
          <w:sz w:val="20"/>
          <w:szCs w:val="20"/>
          <w:color w:val="auto"/>
        </w:rPr>
      </w:pPr>
      <w:r>
        <w:rPr>
          <w:rFonts w:ascii="Times New Roman" w:cs="Times New Roman" w:eastAsia="Times New Roman" w:hAnsi="Times New Roman"/>
          <w:sz w:val="14"/>
          <w:szCs w:val="14"/>
          <w:color w:val="auto"/>
        </w:rPr>
        <w:t>Any corporation or banking association into which the Trustee may be merged or converted or with which it may be consolidated, or any corporation or banking association resulting from any merger, conversion or consolidation to which the Trustee shall be a party, or any corporation or banking association succeeding to all or substantially all of the corporate trust business of the Trustee, shall be the successor of the Trustee hereunder, provided, that such corporation or banking association shall be qualified under Section 310(b) of the Trust Indenture Act and eligible under the provisions of Section 6.10, without the execution or filing of any paper or any further act on the part of any of the parties hereto, anything herein to the contrary notwithstanding.</w:t>
      </w:r>
    </w:p>
    <w:p>
      <w:pPr>
        <w:spacing w:after="0" w:line="142" w:lineRule="exact"/>
        <w:rPr>
          <w:sz w:val="20"/>
          <w:szCs w:val="20"/>
          <w:color w:val="auto"/>
        </w:rPr>
      </w:pPr>
    </w:p>
    <w:p>
      <w:pPr>
        <w:ind w:left="200" w:right="259" w:firstLine="344"/>
        <w:spacing w:after="0" w:line="256" w:lineRule="auto"/>
        <w:rPr>
          <w:sz w:val="20"/>
          <w:szCs w:val="20"/>
          <w:color w:val="auto"/>
        </w:rPr>
      </w:pPr>
      <w:r>
        <w:rPr>
          <w:rFonts w:ascii="Times New Roman" w:cs="Times New Roman" w:eastAsia="Times New Roman" w:hAnsi="Times New Roman"/>
          <w:sz w:val="14"/>
          <w:szCs w:val="14"/>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such successor to the Trustee may authenticate such Securities either in the name of any predecessor hereunder or in the name of the successor Trustee; and in all such cases such certificate of authentication shall have the full force which under this Indenture or the Securities of such series it is provided that the certificate of authentication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6.14 PREFERENTIAL COLLECTION OF CLAIMS AGAINST THE ISSUER</w:t>
      </w:r>
    </w:p>
    <w:p>
      <w:pPr>
        <w:spacing w:after="0" w:line="178" w:lineRule="exact"/>
        <w:rPr>
          <w:sz w:val="20"/>
          <w:szCs w:val="20"/>
          <w:color w:val="auto"/>
        </w:rPr>
      </w:pPr>
    </w:p>
    <w:p>
      <w:pPr>
        <w:ind w:left="200" w:right="339" w:firstLine="344"/>
        <w:spacing w:after="0" w:line="284"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listed in Section 311(b) of the Trust Indenture Act. A Trustee who has resigned or been removed shall be subject to Section 311(a) of the Trust Indenture Act to the extent indicated.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6.15 APPOINTMENT OF AUTHENTICATING AGENT</w:t>
      </w:r>
    </w:p>
    <w:p>
      <w:pPr>
        <w:spacing w:after="0" w:line="178" w:lineRule="exact"/>
        <w:rPr>
          <w:sz w:val="20"/>
          <w:szCs w:val="20"/>
          <w:color w:val="auto"/>
        </w:rPr>
      </w:pPr>
    </w:p>
    <w:p>
      <w:pPr>
        <w:ind w:left="200" w:right="259" w:firstLine="344"/>
        <w:spacing w:after="0" w:line="255" w:lineRule="auto"/>
        <w:rPr>
          <w:sz w:val="20"/>
          <w:szCs w:val="20"/>
          <w:color w:val="auto"/>
        </w:rPr>
      </w:pPr>
      <w:r>
        <w:rPr>
          <w:rFonts w:ascii="Times New Roman" w:cs="Times New Roman" w:eastAsia="Times New Roman" w:hAnsi="Times New Roman"/>
          <w:sz w:val="14"/>
          <w:szCs w:val="14"/>
          <w:color w:val="auto"/>
        </w:rPr>
        <w:t>As long as any Securities of a series remain Outstanding, the Trustee may, by an instrument in writing, appoint with the approval of the Issuer an authenticating agent (the “Authenticating Agent”) which shall be authorized to act on behalf of the Trustee to authenticate Securities, including Securities issued upon exchange, registration of transfer, partial redemption or pursuant to Section 2.9. Securities of each such series authenticated by such Authenticating Agent shall be entitled to the benefits of this Indenture and shall be valid and obligatory for all purposes as if authenticated by the Trustee. Whenever reference is made in this Indenture to the authentication and delivery of Securities of any series by the Trustee or to the Trustee’s Certificate of Authentication, such reference shall be deemed to include authentication and delivery on behalf of the Trustee by an Authenticating Agent for such series and a Certificate of Authentication executed on behalf of the Trustee by such Authenticating Agent. Such Authenticating Agent shall at all times be a corporation organized and doing business under the laws of the United States of America or of any State, authorized under such laws to exercise corporate trust powers, having a combined capital and surplus of at least $45,000,000 (determined as provided in Section 6.10 with respect to the Trustee) and subject to supervision or examination by Federal or state authority.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1" w:right="1440" w:bottom="1440" w:gutter="0" w:footer="0" w:header="0"/>
        </w:sectPr>
      </w:pPr>
    </w:p>
    <w:bookmarkStart w:id="84" w:name="page85"/>
    <w:bookmarkEnd w:id="84"/>
    <w:p>
      <w:pPr>
        <w:ind w:left="200" w:right="259" w:firstLine="344"/>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Securities for which it served as Authenticating Agent without the execution or filing of any paper or any further act on the part of the Trustee or such Authenticating Agent. Any Authenticating Agent may at any time, and if it shall cease to be eligible shall, resign by giving written notice of resignation to the Trustee and to the Issuer.</w:t>
      </w:r>
    </w:p>
    <w:p>
      <w:pPr>
        <w:spacing w:after="0" w:line="142" w:lineRule="exact"/>
        <w:rPr>
          <w:sz w:val="20"/>
          <w:szCs w:val="20"/>
          <w:color w:val="auto"/>
        </w:rPr>
      </w:pPr>
    </w:p>
    <w:p>
      <w:pPr>
        <w:ind w:left="200" w:right="319" w:firstLine="344"/>
        <w:spacing w:after="0" w:line="256" w:lineRule="auto"/>
        <w:rPr>
          <w:sz w:val="20"/>
          <w:szCs w:val="20"/>
          <w:color w:val="auto"/>
        </w:rPr>
      </w:pPr>
      <w:r>
        <w:rPr>
          <w:rFonts w:ascii="Times New Roman" w:cs="Times New Roman" w:eastAsia="Times New Roman" w:hAnsi="Times New Roman"/>
          <w:sz w:val="14"/>
          <w:szCs w:val="14"/>
          <w:color w:val="auto"/>
        </w:rPr>
        <w:t>Upon receiving such a notice of resignation or upon such a termination, or in case at any time any Authenticating Agent shall cease to be eligible in accordance with the provisions of this Section 6.15 with respect to one or more series of Securities, the Trustee shall upon receipt of an Issuer Order appoint a successor Authenticating Agent, and the Issuer shall provide notice of such appointment to all Holders of Securities of such series in the manner and to the extent provided in Section 11.4. Any successor Authenticating Agent upon acceptance of its appointment hereunder shall become vested with all rights, powers, duties and responsibilities of its predecessor hereunder, with like effect as if originally named as Authenticating Agent. The Issuer agrees to pay to the Authenticating Agent for such series from time to time reasonable compensation. The Authenticating Agent for the Securities of any series shall have no responsibility or liability for any action taken by it as such at the direction of the Trustee.</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Sections 6.2, 6.3, 6.4, 6.6 and 7.3 shall be applicable to any Authenticating Agent.</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7.1 EVIDENCE OF ACTION TAKEN BY SECURITYHOLDERS</w:t>
      </w:r>
    </w:p>
    <w:p>
      <w:pPr>
        <w:spacing w:after="0" w:line="178" w:lineRule="exact"/>
        <w:rPr>
          <w:sz w:val="20"/>
          <w:szCs w:val="20"/>
          <w:color w:val="auto"/>
        </w:rPr>
      </w:pPr>
    </w:p>
    <w:p>
      <w:pPr>
        <w:ind w:left="200" w:right="219" w:firstLine="344"/>
        <w:spacing w:after="0" w:line="258" w:lineRule="auto"/>
        <w:rPr>
          <w:sz w:val="20"/>
          <w:szCs w:val="20"/>
          <w:color w:val="auto"/>
        </w:rPr>
      </w:pPr>
      <w:r>
        <w:rPr>
          <w:rFonts w:ascii="Times New Roman" w:cs="Times New Roman" w:eastAsia="Times New Roman" w:hAnsi="Times New Roman"/>
          <w:sz w:val="14"/>
          <w:szCs w:val="14"/>
          <w:color w:val="auto"/>
        </w:rPr>
        <w:t>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6.1 and 6.2) conclusive in favor of the Trustee and the Issuer, if made in the manner provided in this Article.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1"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7.2 PROOF OF EXECUTION OF INSTRUMENTS AND OF HOLDING OF SECURITIES</w:t>
      </w:r>
    </w:p>
    <w:p>
      <w:pPr>
        <w:spacing w:after="0" w:line="178" w:lineRule="exact"/>
        <w:rPr>
          <w:sz w:val="20"/>
          <w:szCs w:val="20"/>
          <w:color w:val="auto"/>
        </w:rPr>
      </w:pPr>
    </w:p>
    <w:p>
      <w:pPr>
        <w:jc w:val="both"/>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t>Subject to Sections 6.1 and 6.2, the execution of any instrument by a Securityholder or his agent or proxy may be proved in accordance with such reasonable rules and regulations as may be prescribed by the Trustee or in such manner as shall be reasonably satisfactory to the Trustee. The holding of Registered Securities shall be proved by the Security register or by a certificate of the Registrar thereof.</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7.3 HOLDERS TO BE TREATED AS OWNERS</w:t>
      </w:r>
    </w:p>
    <w:p>
      <w:pPr>
        <w:spacing w:after="0" w:line="178" w:lineRule="exact"/>
        <w:rPr>
          <w:sz w:val="20"/>
          <w:szCs w:val="20"/>
          <w:color w:val="auto"/>
        </w:rPr>
      </w:pPr>
    </w:p>
    <w:p>
      <w:pPr>
        <w:ind w:left="200" w:right="299" w:firstLine="344"/>
        <w:spacing w:after="0" w:line="259" w:lineRule="auto"/>
        <w:rPr>
          <w:sz w:val="20"/>
          <w:szCs w:val="20"/>
          <w:color w:val="auto"/>
        </w:rPr>
      </w:pPr>
      <w:r>
        <w:rPr>
          <w:rFonts w:ascii="Times New Roman" w:cs="Times New Roman" w:eastAsia="Times New Roman" w:hAnsi="Times New Roman"/>
          <w:sz w:val="14"/>
          <w:szCs w:val="14"/>
          <w:color w:val="auto"/>
        </w:rPr>
        <w:t>The Issuer, the Trustee and any agent of the Issuer or the Trustee shall deem and treat the person in whose name any Security shall be registered upon the Security register and books of the Registrar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7.4 SECURITIES OWNED BY ISSUER DEEMED NOT OUTSTANDING</w:t>
      </w:r>
    </w:p>
    <w:p>
      <w:pPr>
        <w:spacing w:after="0" w:line="178" w:lineRule="exact"/>
        <w:rPr>
          <w:sz w:val="20"/>
          <w:szCs w:val="20"/>
          <w:color w:val="auto"/>
        </w:rPr>
      </w:pPr>
    </w:p>
    <w:p>
      <w:pPr>
        <w:ind w:left="200" w:right="239" w:firstLine="344"/>
        <w:spacing w:after="0" w:line="253"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Outstanding Securities of any or all series have concurred in any request, demand, authorization, direction, notice, consent, waiver or other action by Securityholders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action only Securities which a Responsible Officer of the Trustee actually knows are so owned shall be so disregarded. Securities so owned which have been pledged in good faith may be regarded as Outstanding if the pledgee establishes to the reasonable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6.1 and 6.2, the Trustee shall be entitled to accept such Officers’ Certificate as conclusive evidence of the facts therein set forth and of the fact that all Securities not listed therein are Outstanding for the purpose of any such determination.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9"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200900" cy="32385"/>
                    </a:xfrm>
                    <a:prstGeom prst="rect">
                      <a:avLst/>
                    </a:prstGeom>
                    <a:noFill/>
                  </pic:spPr>
                </pic:pic>
              </a:graphicData>
            </a:graphic>
          </wp:anchor>
        </w:drawing>
        <w:t>SECTION 7.5 RIGHT OF REVOCATION OF ACTION TAKEN</w:t>
      </w:r>
    </w:p>
    <w:p>
      <w:pPr>
        <w:spacing w:after="0" w:line="178" w:lineRule="exact"/>
        <w:rPr>
          <w:sz w:val="20"/>
          <w:szCs w:val="20"/>
          <w:color w:val="auto"/>
        </w:rPr>
      </w:pPr>
    </w:p>
    <w:p>
      <w:pPr>
        <w:ind w:left="200" w:right="219" w:firstLine="344"/>
        <w:spacing w:after="0" w:line="255"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7.1,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8.1 SUPPLEMENTAL INDENTURES WITHOUT CONSENT OF SECURITYHOLDERS</w:t>
      </w:r>
    </w:p>
    <w:p>
      <w:pPr>
        <w:spacing w:after="0" w:line="178" w:lineRule="exact"/>
        <w:rPr>
          <w:sz w:val="20"/>
          <w:szCs w:val="20"/>
          <w:color w:val="auto"/>
        </w:rPr>
      </w:pPr>
    </w:p>
    <w:p>
      <w:pPr>
        <w:jc w:val="both"/>
        <w:ind w:left="200" w:right="319" w:firstLine="344"/>
        <w:spacing w:after="0" w:line="268" w:lineRule="auto"/>
        <w:rPr>
          <w:sz w:val="20"/>
          <w:szCs w:val="20"/>
          <w:color w:val="auto"/>
        </w:rPr>
      </w:pPr>
      <w:r>
        <w:rPr>
          <w:rFonts w:ascii="Times New Roman" w:cs="Times New Roman" w:eastAsia="Times New Roman" w:hAnsi="Times New Roman"/>
          <w:sz w:val="14"/>
          <w:szCs w:val="14"/>
          <w:color w:val="auto"/>
        </w:rPr>
        <w:t>The Issuer, when authorized by a Board Resolution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for one or more of the following purposes:</w:t>
      </w:r>
    </w:p>
    <w:p>
      <w:pPr>
        <w:spacing w:after="0" w:line="62" w:lineRule="exact"/>
        <w:rPr>
          <w:sz w:val="20"/>
          <w:szCs w:val="20"/>
          <w:color w:val="auto"/>
        </w:rPr>
      </w:pPr>
    </w:p>
    <w:p>
      <w:pPr>
        <w:ind w:left="960" w:hanging="420"/>
        <w:spacing w:after="0"/>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convey, transfer, assign, mortgage or pledge to the Trustee as security for the Securities of one or more series any property or assets;</w:t>
      </w:r>
    </w:p>
    <w:p>
      <w:pPr>
        <w:spacing w:after="0" w:line="102" w:lineRule="exact"/>
        <w:rPr>
          <w:rFonts w:ascii="Times New Roman" w:cs="Times New Roman" w:eastAsia="Times New Roman" w:hAnsi="Times New Roman"/>
          <w:sz w:val="14"/>
          <w:szCs w:val="14"/>
          <w:color w:val="auto"/>
        </w:rPr>
      </w:pPr>
    </w:p>
    <w:p>
      <w:pPr>
        <w:ind w:left="960" w:right="259" w:hanging="420"/>
        <w:spacing w:after="0" w:line="284"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corporation to the Issuer, or successive successions, and the assumption by the successor corporation of the covenants, agreements and obligations of the Issuer pursuant to Article IX;</w:t>
      </w:r>
    </w:p>
    <w:p>
      <w:pPr>
        <w:spacing w:after="0" w:line="51" w:lineRule="exact"/>
        <w:rPr>
          <w:rFonts w:ascii="Times New Roman" w:cs="Times New Roman" w:eastAsia="Times New Roman" w:hAnsi="Times New Roman"/>
          <w:sz w:val="14"/>
          <w:szCs w:val="14"/>
          <w:color w:val="auto"/>
        </w:rPr>
      </w:pPr>
    </w:p>
    <w:p>
      <w:pPr>
        <w:ind w:left="960" w:right="259" w:hanging="420"/>
        <w:spacing w:after="0" w:line="256"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Issuer such further covenants, restrictions, conditions or provisions as the Issuer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87" w:name="page88"/>
    <w:bookmarkEnd w:id="87"/>
    <w:p>
      <w:pPr>
        <w:ind w:left="960" w:right="499" w:hanging="420"/>
        <w:spacing w:after="0" w:line="268"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200900" cy="32385"/>
                    </a:xfrm>
                    <a:prstGeom prst="rect">
                      <a:avLst/>
                    </a:prstGeom>
                    <a:noFill/>
                  </pic:spPr>
                </pic:pic>
              </a:graphicData>
            </a:graphic>
          </wp:anchor>
        </w:drawing>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spacing w:after="0" w:line="61"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one or more guarantees for the benefit of Holders of the Securities;</w:t>
      </w:r>
    </w:p>
    <w:p>
      <w:pPr>
        <w:spacing w:after="0" w:line="102"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any limitations established pursuant to Section 2.3, to provide for the issuance of additional Securities of any series;</w:t>
      </w:r>
    </w:p>
    <w:p>
      <w:pPr>
        <w:spacing w:after="0" w:line="102"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rules of any applicable Depositary;</w:t>
      </w:r>
    </w:p>
    <w:p>
      <w:pPr>
        <w:spacing w:after="0" w:line="102" w:lineRule="exact"/>
        <w:rPr>
          <w:rFonts w:ascii="Times New Roman" w:cs="Times New Roman" w:eastAsia="Times New Roman" w:hAnsi="Times New Roman"/>
          <w:sz w:val="14"/>
          <w:szCs w:val="14"/>
          <w:color w:val="auto"/>
        </w:rPr>
      </w:pPr>
    </w:p>
    <w:p>
      <w:pPr>
        <w:ind w:left="960" w:right="679" w:hanging="420"/>
        <w:spacing w:after="0" w:line="284"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any of the provisions of this Indenture to such extent as shall be necessary to permit or facilitate the issuance of Securities in uncertificated form;</w:t>
      </w:r>
    </w:p>
    <w:p>
      <w:pPr>
        <w:spacing w:after="0" w:line="51" w:lineRule="exact"/>
        <w:rPr>
          <w:rFonts w:ascii="Times New Roman" w:cs="Times New Roman" w:eastAsia="Times New Roman" w:hAnsi="Times New Roman"/>
          <w:sz w:val="14"/>
          <w:szCs w:val="14"/>
          <w:color w:val="auto"/>
        </w:rPr>
      </w:pPr>
    </w:p>
    <w:p>
      <w:pPr>
        <w:ind w:left="960" w:right="279" w:hanging="420"/>
        <w:spacing w:after="0" w:line="262"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66" w:lineRule="exact"/>
        <w:rPr>
          <w:rFonts w:ascii="Times New Roman" w:cs="Times New Roman" w:eastAsia="Times New Roman" w:hAnsi="Times New Roman"/>
          <w:sz w:val="14"/>
          <w:szCs w:val="14"/>
          <w:color w:val="auto"/>
        </w:rPr>
      </w:pPr>
    </w:p>
    <w:p>
      <w:pPr>
        <w:ind w:left="960" w:right="399" w:hanging="420"/>
        <w:spacing w:after="0" w:line="268"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this Indenture to such extent as shall be necessary to permit or facilitate the defeasance and discharge of any series of Securities pursuant to Section 10.1; provided that any such action shall not adversely affect the interests of the Holders of Securities of such series or any other series of Securities in any material respect;</w:t>
      </w:r>
    </w:p>
    <w:p>
      <w:pPr>
        <w:spacing w:after="0" w:line="61" w:lineRule="exact"/>
        <w:rPr>
          <w:rFonts w:ascii="Times New Roman" w:cs="Times New Roman" w:eastAsia="Times New Roman" w:hAnsi="Times New Roman"/>
          <w:sz w:val="14"/>
          <w:szCs w:val="14"/>
          <w:color w:val="auto"/>
        </w:rPr>
      </w:pPr>
    </w:p>
    <w:p>
      <w:pPr>
        <w:ind w:left="960" w:right="419" w:hanging="420"/>
        <w:spacing w:after="0" w:line="284"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rules or regulations of any securities exchange or automated quotation system on which any of the Securities may be listed or traded;</w:t>
      </w:r>
    </w:p>
    <w:p>
      <w:pPr>
        <w:spacing w:after="0" w:line="51" w:lineRule="exact"/>
        <w:rPr>
          <w:rFonts w:ascii="Times New Roman" w:cs="Times New Roman" w:eastAsia="Times New Roman" w:hAnsi="Times New Roman"/>
          <w:sz w:val="14"/>
          <w:szCs w:val="14"/>
          <w:color w:val="auto"/>
        </w:rPr>
      </w:pPr>
    </w:p>
    <w:p>
      <w:pPr>
        <w:ind w:left="960" w:right="239" w:hanging="420"/>
        <w:spacing w:after="0" w:line="268"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change or eliminate any of the provisions of this Indenture as shall be necessary or desirable in accordance with any amendments to the Trust Indenture Act, provided that such action does not adversely affect the rights or interests of the Holders of Securities of any series in any material respect;</w:t>
      </w:r>
    </w:p>
    <w:p>
      <w:pPr>
        <w:spacing w:after="0" w:line="61" w:lineRule="exact"/>
        <w:rPr>
          <w:rFonts w:ascii="Times New Roman" w:cs="Times New Roman" w:eastAsia="Times New Roman" w:hAnsi="Times New Roman"/>
          <w:sz w:val="14"/>
          <w:szCs w:val="14"/>
          <w:color w:val="auto"/>
        </w:rPr>
      </w:pPr>
    </w:p>
    <w:p>
      <w:pPr>
        <w:ind w:left="960" w:right="239" w:hanging="420"/>
        <w:spacing w:after="0" w:line="262"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omission or inconsistency or to correct or supplement any provision contained herein or in any supplemental indenture which may be ambiguous, defective or inconsistent with any other provision contained herein or in any supplemental indenture, or to make any other provisions as the Issuer may deem necessary or desirable, provided, that no such action shall adversely affect the interests of the Holders of Securities of any series in any material respect;</w:t>
      </w:r>
    </w:p>
    <w:p>
      <w:pPr>
        <w:spacing w:after="0" w:line="66" w:lineRule="exact"/>
        <w:rPr>
          <w:rFonts w:ascii="Times New Roman" w:cs="Times New Roman" w:eastAsia="Times New Roman" w:hAnsi="Times New Roman"/>
          <w:sz w:val="14"/>
          <w:szCs w:val="14"/>
          <w:color w:val="auto"/>
        </w:rPr>
      </w:pPr>
    </w:p>
    <w:p>
      <w:pPr>
        <w:ind w:left="960" w:hanging="420"/>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forms or terms of Securities of any series as permitted by Sections 2.1 and 2.3;</w:t>
      </w:r>
    </w:p>
    <w:p>
      <w:pPr>
        <w:spacing w:after="0" w:line="102" w:lineRule="exact"/>
        <w:rPr>
          <w:rFonts w:ascii="Times New Roman" w:cs="Times New Roman" w:eastAsia="Times New Roman" w:hAnsi="Times New Roman"/>
          <w:sz w:val="14"/>
          <w:szCs w:val="14"/>
          <w:color w:val="auto"/>
        </w:rPr>
      </w:pPr>
    </w:p>
    <w:p>
      <w:pPr>
        <w:ind w:left="960" w:right="319" w:hanging="420"/>
        <w:spacing w:after="0" w:line="268"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6.12; and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1" w:right="1440" w:bottom="1440" w:gutter="0" w:footer="0" w:header="0"/>
        </w:sectPr>
      </w:pPr>
    </w:p>
    <w:bookmarkStart w:id="88" w:name="page89"/>
    <w:bookmarkEnd w:id="88"/>
    <w:p>
      <w:pPr>
        <w:ind w:left="960" w:right="279" w:hanging="420"/>
        <w:spacing w:after="0" w:line="284" w:lineRule="auto"/>
        <w:tabs>
          <w:tab w:leader="none" w:pos="9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to add to, change or eliminate any other provision under this Indenture; provided that such addition, change or elimination pursuant to this clause (p) shall not adversely affect the interests of the Holders of Securities of any series in any material respect.</w:t>
      </w:r>
    </w:p>
    <w:p>
      <w:pPr>
        <w:spacing w:after="0" w:line="125" w:lineRule="exact"/>
        <w:rPr>
          <w:sz w:val="20"/>
          <w:szCs w:val="20"/>
          <w:color w:val="auto"/>
        </w:rPr>
      </w:pPr>
    </w:p>
    <w:p>
      <w:pPr>
        <w:ind w:left="200" w:right="319" w:firstLine="344"/>
        <w:spacing w:after="0" w:line="262" w:lineRule="auto"/>
        <w:rPr>
          <w:sz w:val="20"/>
          <w:szCs w:val="20"/>
          <w:color w:val="auto"/>
        </w:rPr>
      </w:pPr>
      <w:r>
        <w:rPr>
          <w:rFonts w:ascii="Times New Roman" w:cs="Times New Roman" w:eastAsia="Times New Roman" w:hAnsi="Times New Roman"/>
          <w:sz w:val="14"/>
          <w:szCs w:val="14"/>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adversely affects the Trustee’s own rights, duties or immunities under this Indenture or otherwise.</w:t>
      </w:r>
    </w:p>
    <w:p>
      <w:pPr>
        <w:spacing w:after="0" w:line="140" w:lineRule="exact"/>
        <w:rPr>
          <w:sz w:val="20"/>
          <w:szCs w:val="20"/>
          <w:color w:val="auto"/>
        </w:rPr>
      </w:pPr>
    </w:p>
    <w:p>
      <w:pPr>
        <w:ind w:left="200" w:right="699" w:firstLine="344"/>
        <w:spacing w:after="0" w:line="284"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without the consent of the Holders of any of the Securities at the time Outstanding, notwithstanding any of the provisions of Section 8.2.</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8.2 SUPPLEMENTAL INDENTURES WITH CONSENT OF SECURITYHOLDERS</w:t>
      </w:r>
    </w:p>
    <w:p>
      <w:pPr>
        <w:spacing w:after="0" w:line="199" w:lineRule="exact"/>
        <w:rPr>
          <w:sz w:val="20"/>
          <w:szCs w:val="20"/>
          <w:color w:val="auto"/>
        </w:rPr>
      </w:pPr>
    </w:p>
    <w:p>
      <w:pPr>
        <w:ind w:left="960" w:right="439" w:hanging="420"/>
        <w:spacing w:after="0" w:line="256"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paragraph (C) below, with the consent (evidenced as provided in Article VII) of the Holders of not less than a majority in aggregate principal amount of the Securities at the time Outstanding of all series of Senior Securities affected by such supplemental indenture (voting as one class), the Issuer, when authorized by a Board Resolution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(which shall conform to the provisions of the Trust Indenture Act as in force and effect at the date of execution thereof) for the purpose of adding any provisions to or changing in any manner or eliminating any of the provisions of this Indenture or of any supplemental indenture or of modifying in any manner the rights of the Holders of the Securities of each such series.</w:t>
      </w:r>
    </w:p>
    <w:p>
      <w:pPr>
        <w:spacing w:after="0" w:line="70" w:lineRule="exact"/>
        <w:rPr>
          <w:rFonts w:ascii="Times New Roman" w:cs="Times New Roman" w:eastAsia="Times New Roman" w:hAnsi="Times New Roman"/>
          <w:sz w:val="14"/>
          <w:szCs w:val="14"/>
          <w:color w:val="auto"/>
        </w:rPr>
      </w:pPr>
    </w:p>
    <w:p>
      <w:pPr>
        <w:ind w:left="960" w:right="399" w:hanging="420"/>
        <w:spacing w:after="0" w:line="256"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paragraph (C) below, with the consent (evidenced as provided in Article VII) of the Holders of not less than a majority in aggregate principal amount of the Securities at the time Outstanding of all series of Subordinated Securities affected by such supplemental indenture (voting as one class), the Issuer, when authorized by a Board Resolution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(which shall conform to the provisions of the Trust Indenture Act as in force and effect at the date of execution thereof) for the purpose of adding any provisions to or changing in any manner or eliminating any of the provisions of this Indenture or of any supplemental indenture or of modifying in any manner the rights of the Holders of the Securities of each such series.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1" w:right="1440" w:bottom="1440" w:gutter="0" w:footer="0" w:header="0"/>
        </w:sectPr>
      </w:pPr>
    </w:p>
    <w:bookmarkStart w:id="89" w:name="page90"/>
    <w:bookmarkEnd w:id="89"/>
    <w:p>
      <w:pPr>
        <w:ind w:left="960" w:right="239" w:hanging="420"/>
        <w:spacing w:after="0" w:line="254" w:lineRule="auto"/>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No such supplemental indenture shall (i) extend the final maturity of any Security, or reduce the principal amount thereof, or premium thereon, if any, or reduce the rate or extend the time of payment of interest thereon, or reduce any amount payable on redemption thereof, or make the principal thereof (including any amount in respect of original issue discount), or premium thereon, if any, or interest thereon payable in any coin or currency other than that provided in the Securities or in accordance with the terms thereof, or reduce the amount of the principal of an Original Issue Discount Security that would be due and payable upon an acceleration of the maturity thereof pursuant to Section 5.1 or the amount thereof provable in bankruptcy pursuant to Section 5.2, or in the case of Subordinated Securities of any series, modify any of the Subordination Provisions or the definition of “Senior Indebtedness” relating to such series in a manner adverse to the holders of such Subordinated Securities, or alter the provisions of Section 11.11 or 11.12 or impair or affect the right of any Securityholder to institute suit for the payment thereof when due or, if the Securities provide therefor, any right of repayment at the option of the Securityholder, or modify any provision of this Section 8.2(C), except to provide that certain provisions of this Indenture cannot be modified or waived, in each case without the consent of the Holder of each Security so affected, or (ii) reduce the aforesaid percentage of Securities of any series, the consent of the Holders of which is required for any such supplemental indenture, without the consent of the Holders of each Security so affected.</w:t>
      </w:r>
    </w:p>
    <w:p>
      <w:pPr>
        <w:spacing w:after="0" w:line="72" w:lineRule="exact"/>
        <w:rPr>
          <w:rFonts w:ascii="Times New Roman" w:cs="Times New Roman" w:eastAsia="Times New Roman" w:hAnsi="Times New Roman"/>
          <w:sz w:val="14"/>
          <w:szCs w:val="14"/>
          <w:color w:val="auto"/>
        </w:rPr>
      </w:pPr>
    </w:p>
    <w:p>
      <w:pPr>
        <w:ind w:left="960" w:right="319" w:hanging="420"/>
        <w:spacing w:after="0" w:line="262" w:lineRule="auto"/>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40" w:lineRule="exact"/>
        <w:rPr>
          <w:sz w:val="20"/>
          <w:szCs w:val="20"/>
          <w:color w:val="auto"/>
        </w:rPr>
      </w:pPr>
    </w:p>
    <w:p>
      <w:pPr>
        <w:ind w:left="200" w:right="219" w:firstLine="344"/>
        <w:spacing w:after="0" w:line="256" w:lineRule="auto"/>
        <w:rPr>
          <w:sz w:val="20"/>
          <w:szCs w:val="20"/>
          <w:color w:val="auto"/>
        </w:rPr>
      </w:pPr>
      <w:r>
        <w:rPr>
          <w:rFonts w:ascii="Times New Roman" w:cs="Times New Roman" w:eastAsia="Times New Roman" w:hAnsi="Times New Roman"/>
          <w:sz w:val="14"/>
          <w:szCs w:val="14"/>
          <w:color w:val="auto"/>
        </w:rPr>
        <w:t>Upon the request of the Issuer, accompanied by a copy of a resolution of the Board of Directors (which resolution may provide general terms or parameters for such action and may provide that the specific terms of such action may be determined in accordance with or pursuant to an Issuer Order) certified by the secretary or an assistant secretary of the Issuer authorizing the execution of any such supplemental indenture, and upon the filing with the Trustee of evidence of the consent of the Holders of the Securities as aforesaid and other documents, if any, required by Section 8.4,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47" w:lineRule="exact"/>
        <w:rPr>
          <w:sz w:val="20"/>
          <w:szCs w:val="20"/>
          <w:color w:val="auto"/>
        </w:rPr>
      </w:pPr>
    </w:p>
    <w:p>
      <w:pPr>
        <w:ind w:left="200" w:right="479" w:firstLine="344"/>
        <w:spacing w:after="0" w:line="284"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25" w:lineRule="exact"/>
        <w:rPr>
          <w:sz w:val="20"/>
          <w:szCs w:val="20"/>
          <w:color w:val="auto"/>
        </w:rPr>
      </w:pPr>
    </w:p>
    <w:p>
      <w:pPr>
        <w:ind w:left="200" w:right="319" w:firstLine="344"/>
        <w:spacing w:after="0" w:line="262" w:lineRule="auto"/>
        <w:rPr>
          <w:sz w:val="20"/>
          <w:szCs w:val="20"/>
          <w:color w:val="auto"/>
        </w:rPr>
      </w:pPr>
      <w:r>
        <w:rPr>
          <w:rFonts w:ascii="Times New Roman" w:cs="Times New Roman" w:eastAsia="Times New Roman" w:hAnsi="Times New Roman"/>
          <w:sz w:val="14"/>
          <w:szCs w:val="14"/>
          <w:color w:val="auto"/>
        </w:rPr>
        <w:t>Promptly after the execution by the Issuer and the Trustee of any supplemental indenture pursuant to the provisions of this Section, the Issuer or, at the Issuer’s written request and expense, the Trustee shall send the Issuer’s notice thereof to the Holders of then Outstanding Registered Securities in accordance with Applicable Procedures. Any failure of the Issuer to give such notice or cause such notice to be given, or any defect therein, shall not, however, in any way impair or affect the validity of any such supplemental indenture.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1"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8.3 EFFECT OF SUPPLEMENTAL INDENTURE</w:t>
      </w:r>
    </w:p>
    <w:p>
      <w:pPr>
        <w:spacing w:after="0" w:line="178" w:lineRule="exact"/>
        <w:rPr>
          <w:sz w:val="20"/>
          <w:szCs w:val="20"/>
          <w:color w:val="auto"/>
        </w:rPr>
      </w:pPr>
    </w:p>
    <w:p>
      <w:pPr>
        <w:ind w:left="200" w:right="339" w:firstLine="344"/>
        <w:spacing w:after="0" w:line="259"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8.4 DOCUMENTS TO BE GIVEN TO TRUSTEE</w:t>
      </w:r>
    </w:p>
    <w:p>
      <w:pPr>
        <w:spacing w:after="0" w:line="178" w:lineRule="exact"/>
        <w:rPr>
          <w:sz w:val="20"/>
          <w:szCs w:val="20"/>
          <w:color w:val="auto"/>
        </w:rPr>
      </w:pPr>
    </w:p>
    <w:p>
      <w:pPr>
        <w:ind w:left="200" w:right="239" w:firstLine="344"/>
        <w:spacing w:after="0" w:line="268" w:lineRule="auto"/>
        <w:rPr>
          <w:sz w:val="20"/>
          <w:szCs w:val="20"/>
          <w:color w:val="auto"/>
        </w:rPr>
      </w:pPr>
      <w:r>
        <w:rPr>
          <w:rFonts w:ascii="Times New Roman" w:cs="Times New Roman" w:eastAsia="Times New Roman" w:hAnsi="Times New Roman"/>
          <w:sz w:val="14"/>
          <w:szCs w:val="14"/>
          <w:color w:val="auto"/>
        </w:rPr>
        <w:t>The Trustee, subject to the provisions of Sections 6.1 and 6.2, shall be provided with an Officers’ Certificate and an Opinion of Counsel as conclusive evidence that any supplemental indenture executed pursuant to this Article VIII complies with the applicable provisions of this Indenture and is the valid and binding obligation of the Issuer, enforceable against the Issuer in accordance with its terms, subject to customary exceptions.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8.5 NOTATION ON SECURITIES IN RESPECT OF SUPPLEMENTAL INDENTURES</w:t>
      </w:r>
    </w:p>
    <w:p>
      <w:pPr>
        <w:spacing w:after="0" w:line="178" w:lineRule="exact"/>
        <w:rPr>
          <w:sz w:val="20"/>
          <w:szCs w:val="20"/>
          <w:color w:val="auto"/>
        </w:rPr>
      </w:pPr>
    </w:p>
    <w:p>
      <w:pPr>
        <w:ind w:left="200" w:right="219" w:firstLine="344"/>
        <w:spacing w:after="0" w:line="258" w:lineRule="auto"/>
        <w:rPr>
          <w:sz w:val="20"/>
          <w:szCs w:val="20"/>
          <w:color w:val="auto"/>
        </w:rPr>
      </w:pPr>
      <w:r>
        <w:rPr>
          <w:rFonts w:ascii="Times New Roman" w:cs="Times New Roman" w:eastAsia="Times New Roman" w:hAnsi="Times New Roman"/>
          <w:sz w:val="14"/>
          <w:szCs w:val="14"/>
          <w:color w:val="auto"/>
        </w:rPr>
        <w:t>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shall so determine, subject to compliance with Section 2.4, new Securities of any series so modified as to conform to any modification of this Indenture contained in any such supplemental indenture may be prepared by the Issuer, authenticated by the Trustee and delivered in exchange for the Securities of such series then Outstanding. Failure to make the appropriate notation or issue such new Securities shall not affect the validity and effect of such supplemental indenture.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SALE OR CONVEYANCE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9.1 ISSUER MAY CONSOLIDATE, ETC., ONLY ON CERTAIN TERMS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Issuer shall not consolidate with or merge into any other Person or transfer or lease its properties and assets substantially as an entirety to any</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Person, and the Issuer shall not permit any other Person to consolidate with or merge into the Issuer, unless:</w:t>
      </w:r>
    </w:p>
    <w:p>
      <w:pPr>
        <w:spacing w:after="0" w:line="88" w:lineRule="exact"/>
        <w:rPr>
          <w:sz w:val="20"/>
          <w:szCs w:val="20"/>
          <w:color w:val="auto"/>
        </w:rPr>
      </w:pPr>
    </w:p>
    <w:p>
      <w:pPr>
        <w:ind w:left="960" w:right="299" w:hanging="420"/>
        <w:spacing w:after="0" w:line="256" w:lineRule="auto"/>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the Issuer shall be the continuing corporation, or the successor corporation or Person (if other than the Issuer) formed by such consolidation or into which the Issuer is merged or to which the properties and assets of the Issuer substantially as an entirety are transferred or leased is a Person organized or formed under the laws of the United States, any state of the United States or the District of Columbia, and if such entity is not a corporation, a co-obligor of the Securities is a corporation organized or existing under any such laws, and such successor corporation or Person, including such co-obligor, if any, shall expressly assume, by an indenture supplemental hereto, executed and delivered to the Trustee, in form reasonably satisfactory to the Trustee, all the obligations of the Issuer under the Securities and this Indenture; 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9" w:right="1440" w:bottom="1440" w:gutter="0" w:footer="0" w:header="0"/>
        </w:sectPr>
      </w:pPr>
    </w:p>
    <w:bookmarkStart w:id="91" w:name="page92"/>
    <w:bookmarkEnd w:id="91"/>
    <w:p>
      <w:pPr>
        <w:jc w:val="both"/>
        <w:ind w:left="960" w:right="239" w:hanging="420"/>
        <w:spacing w:after="0" w:line="268" w:lineRule="auto"/>
        <w:tabs>
          <w:tab w:leader="none" w:pos="9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200900" cy="32385"/>
                    </a:xfrm>
                    <a:prstGeom prst="rect">
                      <a:avLst/>
                    </a:prstGeom>
                    <a:noFill/>
                  </pic:spPr>
                </pic:pic>
              </a:graphicData>
            </a:graphic>
          </wp:anchor>
        </w:drawing>
        <w:t>immediately after giving effect to such transaction and treating any indebtedness which becomes an obligation of the Issuer or a Subsidiary as a result of such transaction as having been incurred by the Issuer or such Subsidiary at the time of such transaction, no Event of Default, and no event which, after notice or lapse of time or both, would become an Event of Default, shall have happened and be continuing.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9.2 SUCCESSOR PERSON SUBSTITUTED</w:t>
      </w:r>
    </w:p>
    <w:p>
      <w:pPr>
        <w:spacing w:after="0" w:line="178" w:lineRule="exact"/>
        <w:rPr>
          <w:sz w:val="20"/>
          <w:szCs w:val="20"/>
          <w:color w:val="auto"/>
        </w:rPr>
      </w:pPr>
    </w:p>
    <w:p>
      <w:pPr>
        <w:ind w:left="200" w:right="319" w:firstLine="344"/>
        <w:spacing w:after="0" w:line="259" w:lineRule="auto"/>
        <w:rPr>
          <w:sz w:val="20"/>
          <w:szCs w:val="20"/>
          <w:color w:val="auto"/>
        </w:rPr>
      </w:pPr>
      <w:r>
        <w:rPr>
          <w:rFonts w:ascii="Times New Roman" w:cs="Times New Roman" w:eastAsia="Times New Roman" w:hAnsi="Times New Roman"/>
          <w:sz w:val="14"/>
          <w:szCs w:val="14"/>
          <w:color w:val="auto"/>
        </w:rPr>
        <w:t>The successor Person formed by such consolidation or into which the Issuer is merged or to which such transfer or lease is made shall succeed to and be substituted for, and may exercise every right and power of, the Issuer under this Indenture with the same effect as if such successor Person had been named as the Issuer herein, and thereafter (except in the case of a lease or transfer to another Person) the predecessor shall be relieved of all obligations and covenants under the Indenture and the Securities and, in the event of such lease or transfer, any such predecessor may be dissolved and liquidated.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9.3 OPINION OF COUNSEL TO BE GIVEN TO TRUSTEE</w:t>
      </w:r>
    </w:p>
    <w:p>
      <w:pPr>
        <w:spacing w:after="0" w:line="178" w:lineRule="exact"/>
        <w:rPr>
          <w:sz w:val="20"/>
          <w:szCs w:val="20"/>
          <w:color w:val="auto"/>
        </w:rPr>
      </w:pPr>
    </w:p>
    <w:p>
      <w:pPr>
        <w:ind w:left="200" w:right="299" w:firstLine="344"/>
        <w:spacing w:after="0" w:line="284" w:lineRule="auto"/>
        <w:rPr>
          <w:sz w:val="20"/>
          <w:szCs w:val="20"/>
          <w:color w:val="auto"/>
        </w:rPr>
      </w:pPr>
      <w:r>
        <w:rPr>
          <w:rFonts w:ascii="Times New Roman" w:cs="Times New Roman" w:eastAsia="Times New Roman" w:hAnsi="Times New Roman"/>
          <w:sz w:val="14"/>
          <w:szCs w:val="14"/>
          <w:color w:val="auto"/>
        </w:rPr>
        <w:t>The Trustee, subject to the provisions of Sections 6.1 and 6.2, shall be provided with an Opinion of Counsel as conclusive evidence that any such consolidation, merger, lease or transfer, and any such assumption, complies with the provisions of this Article IX.</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 OF INDENTURE; UNCLAIMED MONEYS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10.1 SATISFACTION AND DISCHARGE OF INDENTURE</w:t>
      </w:r>
    </w:p>
    <w:p>
      <w:pPr>
        <w:spacing w:after="0" w:line="199" w:lineRule="exact"/>
        <w:rPr>
          <w:sz w:val="20"/>
          <w:szCs w:val="20"/>
          <w:color w:val="auto"/>
        </w:rPr>
      </w:pPr>
    </w:p>
    <w:p>
      <w:pPr>
        <w:ind w:left="960" w:right="219" w:hanging="420"/>
        <w:spacing w:after="0" w:line="252" w:lineRule="auto"/>
        <w:tabs>
          <w:tab w:leader="none" w:pos="9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2.9) or (iii) in the case of any series of Securities where the exact amount (including the currency of payment) of principal of and interest due on which can be determined at the time of making the deposit referred to in clause (b) below, (a) all the Securities of such series not theretofore delivered to the Trustee for cancellation shall have become due and payable, or are by their terms to become due and payable within one year or are to be called for redemption within one year under arrangements reasonably satisfactory to the Trustee for the giving of notice of redemption, and (b) the Issuer shall have irrevocably deposited or caused to be deposited with the Trustee as trust funds in trust the entire amount in (i) cash (other than moneys repaid by the Trustee or any paying agent to the Issuer in accordance with Section 10.4), (ii) in the case of any series of Securities the payments on which may only be made in Dollars, direct obligations of the United States of America, backed by its full faith and credit (“U.S. Government Obligations”), maturing as to principal and interest at such times and in such amounts as will insure the availability of cash sufficient in the opinion or based on the report of a nationally recognized firm of independent public accountants, investment bank or appraisal firm to pay at such maturity or upon such redemption, as the case may be, or (iii) a combination thereof, sufficient, in the opinion or based on the report of a nationally recognized firm of independent public accountants, investment bank or appraisal firm expressed in a written certification thereof delivered to the Trustee, to pay (x) the principal and interest on all Securities of such series on each date that such principal or interest is due and payable and (y) any mandatory sinking fund payments on the dates on which such payments are due and payable in accordance with the terms of the Indenture and the Securities of such series; provided, that in the case of any redemption at a price or premium to be calculated based off the Treasury rate or similar rate, the amount deposited with the Trustee shall be sufficient for purposes of this Indenture to the extent that such amount is equal to the price or premium calculated as of the date of the notice of redemption, with any deficit on the date of redemption only required to be deposited with the Trustee on or prior to the date of redemption; and if, in any such case, the Issuer shall also pay or cause to be paid all other sums payable hereunder by the Issuer with respect to the Securities of such series, then this Indenture shall cease to be of further effect (except as to (i) rights of registration of transfer and exchange of Securities of such Series pursuant to Section 2.8, (ii) substitution of mutilated, defaced, destroyed, lost or stolen Securities, (iii) rights of holders of Securities to receive payments of principal thereof and interest thereon, upon the original stated due dates therefor (but not upon acceleration), and remaining rights of the Holders to receive mandatory sinking fund payments, if any, (iv) any optional redemption rights of such series of Securities to the extent to be exercised to make such call for redemption within one year, (v) the rights, obligations, duties and immunities of the Trustee hereunder, including those under Section 6.6, (vi) the rights of the Holders of Securities of such series as beneficiaries hereof with respect to the property so deposited with the Trustee payable to all or any of them, and (vii) the obligations of the Issuer under Section 3.2) and the Trustee, on demand of the Issuer accompanied by an Officers’ Certificate and an Opinion of Counsel and at the cost and expense of the Issuer, shall execute proper instruments acknowledging such satisfaction of and discharging this Indenture;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1" w:right="1440" w:bottom="1440" w:gutter="0" w:footer="0" w:header="0"/>
        </w:sectPr>
      </w:pPr>
    </w:p>
    <w:bookmarkStart w:id="92" w:name="page93"/>
    <w:bookmarkEnd w:id="92"/>
    <w:p>
      <w:pPr>
        <w:jc w:val="both"/>
        <w:ind w:left="960" w:right="219" w:hanging="420"/>
        <w:spacing w:after="0" w:line="258" w:lineRule="auto"/>
        <w:tabs>
          <w:tab w:leader="none" w:pos="9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following provisions shall apply to the Securities of each series unless specifically otherwise provided in a Board Resolution, Officers’ Certificate or indenture supplemental hereto provided pursuant to Section 2.3. In addition to discharge of the Indenture pursuant to the next preceding paragraph, in the case of any series of Securities the exact amounts (including the currency of payment) of principal of and</w:t>
      </w:r>
    </w:p>
    <w:p>
      <w:pPr>
        <w:spacing w:after="0" w:line="1" w:lineRule="exact"/>
        <w:rPr>
          <w:sz w:val="20"/>
          <w:szCs w:val="20"/>
          <w:color w:val="auto"/>
        </w:rPr>
      </w:pPr>
    </w:p>
    <w:p>
      <w:pPr>
        <w:ind w:left="960" w:right="259"/>
        <w:spacing w:after="0" w:line="251" w:lineRule="auto"/>
        <w:rPr>
          <w:sz w:val="20"/>
          <w:szCs w:val="20"/>
          <w:color w:val="auto"/>
        </w:rPr>
      </w:pPr>
      <w:r>
        <w:rPr>
          <w:rFonts w:ascii="Times New Roman" w:cs="Times New Roman" w:eastAsia="Times New Roman" w:hAnsi="Times New Roman"/>
          <w:sz w:val="14"/>
          <w:szCs w:val="14"/>
          <w:color w:val="auto"/>
        </w:rPr>
        <w:t>interest due on which can be determined at the time of making the deposit referred to in clause (a) below, the Issuer shall be deemed to have paid and discharged the entire indebtedness on all the Securities of such a series on the date of the deposit referred to in subparagraph (a) below, and the provisions of this Indenture with respect to the Securities of such series shall no longer be in effect (except as to</w:t>
      </w:r>
    </w:p>
    <w:p>
      <w:pPr>
        <w:spacing w:after="0" w:line="1" w:lineRule="exact"/>
        <w:rPr>
          <w:sz w:val="20"/>
          <w:szCs w:val="20"/>
          <w:color w:val="auto"/>
        </w:rPr>
      </w:pPr>
    </w:p>
    <w:p>
      <w:pPr>
        <w:ind w:left="960" w:right="219" w:firstLine="2"/>
        <w:spacing w:after="0" w:line="253" w:lineRule="auto"/>
        <w:tabs>
          <w:tab w:leader="none" w:pos="112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registration of transfer and exchange of Securities of such series pursuant to Section 2.8 (ii) substitution of mutilated, defaced, destroyed, lost or stolen Securities, (iii) rights of Holders of Securities to receive payments of principal thereof and interest thereon, upon the original stated due dates therefor (but not upon acceleration), and remaining rights of the Holders to receive mandatory sinking fund payments, if any, (iv) any optional redemption rights of such series of Securities, (v) the rights, obligations, duties and immunities of the Trustee hereunder, (vi) the rights of the Holders of Securities of such series as beneficiaries hereof with respect to the property so deposited with the Trustee payable to all or any of them and (vii) the obligations of the Issuer under Section 3.2) and the Trustee, at the expense of the Issuer, shall at the Issuer’s request, execute proper instruments acknowledging the same, if</w:t>
      </w:r>
    </w:p>
    <w:p>
      <w:pPr>
        <w:spacing w:after="0" w:line="73" w:lineRule="exact"/>
        <w:rPr>
          <w:rFonts w:ascii="Times New Roman" w:cs="Times New Roman" w:eastAsia="Times New Roman" w:hAnsi="Times New Roman"/>
          <w:sz w:val="14"/>
          <w:szCs w:val="14"/>
          <w:color w:val="auto"/>
        </w:rPr>
      </w:pPr>
    </w:p>
    <w:p>
      <w:pPr>
        <w:ind w:left="1740" w:right="239" w:hanging="420"/>
        <w:spacing w:after="0" w:line="253" w:lineRule="auto"/>
        <w:tabs>
          <w:tab w:leader="none" w:pos="174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(i) cash in an amount, or (ii) in the case of any series of Securities the payments on which may only be made in Dollars, U.S. Government Obligations (without reinvestement), maturing as to principal and interest at such times and in such amounts as will insure the availability of cash or (iii) a combination thereof, sufficient, in the opinion or based on the report of a nationally recognized firm of independent public accountants, investment bank or appraisal firm expressed in a written certification thereof delivered to the Trustee, to pay (A) the principal and interest on all Securities of such series on each date that such principal or interest is due and payable and (B) any mandatory sinking fund payments on the dates on which such payments are due and payable in accordance with the terms of the Indenture and the Securities of such series; provided, that before such a deposit the Issuer may make arrangements reasonably satisfactory to the Trustee for the redemption of Securities at a future date or dates in accordance with Article XII, which shall be given effect in applying the foregoing; and provided, further, that in the case of any redemption at a price or premium to be calculated based off the Treasury rate or similar rate, the amount deposited with the Trustee shall be sufficient for purposes of this Indenture to the extent that such amount is equal to the price or premium calculated as of the date of the notice of redemption, with any deficit on the date of redemption only required to be deposited with the Trustee on or prior to the date of redemption;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1" w:right="1440" w:bottom="1440" w:gutter="0" w:footer="0" w:header="0"/>
        </w:sectPr>
      </w:pPr>
    </w:p>
    <w:bookmarkStart w:id="93" w:name="page94"/>
    <w:bookmarkEnd w:id="93"/>
    <w:p>
      <w:pPr>
        <w:ind w:left="1740" w:right="219" w:hanging="420"/>
        <w:spacing w:after="0" w:line="284" w:lineRule="auto"/>
        <w:tabs>
          <w:tab w:leader="none" w:pos="17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no Event of Default or event which with notice or lapse of time or both would become an Event of Default with respect to the Securities shall have occurred and be continuing on the date of such deposit;</w:t>
      </w:r>
    </w:p>
    <w:p>
      <w:pPr>
        <w:spacing w:after="0" w:line="51" w:lineRule="exact"/>
        <w:rPr>
          <w:rFonts w:ascii="Times New Roman" w:cs="Times New Roman" w:eastAsia="Times New Roman" w:hAnsi="Times New Roman"/>
          <w:sz w:val="14"/>
          <w:szCs w:val="14"/>
          <w:color w:val="auto"/>
        </w:rPr>
      </w:pPr>
    </w:p>
    <w:p>
      <w:pPr>
        <w:ind w:left="1740" w:right="219" w:hanging="420"/>
        <w:spacing w:after="0" w:line="284" w:lineRule="auto"/>
        <w:tabs>
          <w:tab w:leader="none" w:pos="17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any agreement or instrument to which the Issuer is a party or by which it is bound;</w:t>
      </w:r>
    </w:p>
    <w:p>
      <w:pPr>
        <w:spacing w:after="0" w:line="51" w:lineRule="exact"/>
        <w:rPr>
          <w:rFonts w:ascii="Times New Roman" w:cs="Times New Roman" w:eastAsia="Times New Roman" w:hAnsi="Times New Roman"/>
          <w:sz w:val="14"/>
          <w:szCs w:val="14"/>
          <w:color w:val="auto"/>
        </w:rPr>
      </w:pPr>
    </w:p>
    <w:p>
      <w:pPr>
        <w:ind w:left="1740" w:right="299" w:hanging="420"/>
        <w:spacing w:after="0" w:line="256" w:lineRule="auto"/>
        <w:tabs>
          <w:tab w:leader="none" w:pos="17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has delivered to the Trustee an Opinion of Counsel based on the fact that (x) the Issuer has received from, or there has been published by, the IRS a ruling or (y) since the date hereof, there has been a change in the applicable United States Federal income tax law, in either case to the effect that, and such opinion shall confirm that, the beneficial owners of the Securities of such series will not recognize income, gain or loss for United States Federal income tax purposes as a result of such deposit, defeasance and discharge and will be subject to United States Federal income tax on the same amount and in the same manner and at the same times, as would have been the case if such deposit, defeasance and discharge had not occurred; and</w:t>
      </w:r>
    </w:p>
    <w:p>
      <w:pPr>
        <w:spacing w:after="0" w:line="73" w:lineRule="exact"/>
        <w:rPr>
          <w:rFonts w:ascii="Times New Roman" w:cs="Times New Roman" w:eastAsia="Times New Roman" w:hAnsi="Times New Roman"/>
          <w:sz w:val="14"/>
          <w:szCs w:val="14"/>
          <w:color w:val="auto"/>
        </w:rPr>
      </w:pPr>
    </w:p>
    <w:p>
      <w:pPr>
        <w:ind w:left="1740" w:right="479" w:hanging="420"/>
        <w:spacing w:after="0" w:line="284" w:lineRule="auto"/>
        <w:tabs>
          <w:tab w:leader="none" w:pos="17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has delivered to the Trustee an Officers’ Certificate and an Opinion of Counsel, each stating that all conditions precedent provided for relating to the defeasance contemplated by this provision have been complied with.</w:t>
      </w:r>
    </w:p>
    <w:p>
      <w:pPr>
        <w:spacing w:after="0" w:line="51" w:lineRule="exact"/>
        <w:rPr>
          <w:rFonts w:ascii="Times New Roman" w:cs="Times New Roman" w:eastAsia="Times New Roman" w:hAnsi="Times New Roman"/>
          <w:sz w:val="14"/>
          <w:szCs w:val="14"/>
          <w:color w:val="auto"/>
        </w:rPr>
      </w:pPr>
    </w:p>
    <w:p>
      <w:pPr>
        <w:ind w:left="960" w:right="279" w:hanging="420"/>
        <w:spacing w:after="0" w:line="255" w:lineRule="auto"/>
        <w:tabs>
          <w:tab w:leader="none" w:pos="9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shall be released from its obligations under Sections 3.6 and 9.1 and unless otherwise provided for in the Board Resolution, Officers’ Certificate or Indenture supplemental hereto establishing such series of Securities, from all covenants and other obligations referred to in Section 2.3(19) or 2.3(21) with respect to such series of Securities outstanding on and after the date the conditions set forth below are satisfied (hereinafter, “covenant defeasance”). For this purpose, such covenant defeasance means that, with respect to the Outstanding Securities of any series, the Issuer may omit to comply with and shall have no liability in respect of any term, condition or limitation set forth in such Section, whether directly or indirectly by reason of any reference elsewhere herein to such Section or by reason of any reference in such Section to any other provision herein or in any other document and such omission to comply shall not constitute an Event of Default under Section 5.1, but the remainder of this Indenture and such Securities shall be unaffected thereby. The following shall be the conditions to application of this subsection C of this Section 10.1: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1" w:right="1440" w:bottom="1440" w:gutter="0" w:footer="0" w:header="0"/>
        </w:sectPr>
      </w:pPr>
    </w:p>
    <w:bookmarkStart w:id="94" w:name="page95"/>
    <w:bookmarkEnd w:id="94"/>
    <w:p>
      <w:pPr>
        <w:ind w:left="1740" w:right="219" w:hanging="420"/>
        <w:spacing w:after="0" w:line="253"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Issuer has irrevocably deposited or caused to be deposited with the Trustee as trust funds in trust for the purpose of making the following payments, specifically pledged as security for, and dedicated solely to, the benefit of the holders of the Securities of such series, (i) cash in an amount, or (ii) in the case of any series of Securities the payments on which may only be made in Dollars, U.S. Government Obligations maturing as to principal and interest at such times and in such amounts as will insure the availability of cash or (iii) a combination thereof, sufficient, in the opinion or based on the report of a nationally recognized firm of independent public accountants, investment bank or appraisal firm expressed in a written certification thereof delivered to the Trustee, to pay (A) the principal and interest on all Securities of such series and (B) any mandatory sinking fund payments on the day on which such payments are due and payable in accordance with the terms of the Indenture and the Securities of such series; provided, that before such a deposit the Issuer may make arrangements reasonably satisfactory to the Trustee for the redemption of Securities at a future date or dates in accordance with Article XII, which shall be given effect in applying the foregoing; and provided, further, that in the case of any redemption at a price or premium to be calculated based off the Treasury rate or similar rate, the amount deposited with the Trustee shall be sufficient for purposes of this Indenture to the extent that such amount is equal to the price or premium calculated as of the date of the notice of redemption, with any deficit on the date of redemption only required to be deposited with the Trustee on or prior to the date of redemption;</w:t>
      </w:r>
    </w:p>
    <w:p>
      <w:pPr>
        <w:spacing w:after="0" w:line="79" w:lineRule="exact"/>
        <w:rPr>
          <w:rFonts w:ascii="Times New Roman" w:cs="Times New Roman" w:eastAsia="Times New Roman" w:hAnsi="Times New Roman"/>
          <w:sz w:val="14"/>
          <w:szCs w:val="14"/>
          <w:color w:val="auto"/>
        </w:rPr>
      </w:pPr>
    </w:p>
    <w:p>
      <w:pPr>
        <w:ind w:left="1740" w:right="399" w:hanging="420"/>
        <w:spacing w:after="0" w:line="284"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event which with notice or lapse of time or both would become an Event of Default with respect to the Securities shall have occurred and be continuing on the date of such deposit;</w:t>
      </w:r>
    </w:p>
    <w:p>
      <w:pPr>
        <w:spacing w:after="0" w:line="51" w:lineRule="exact"/>
        <w:rPr>
          <w:rFonts w:ascii="Times New Roman" w:cs="Times New Roman" w:eastAsia="Times New Roman" w:hAnsi="Times New Roman"/>
          <w:sz w:val="14"/>
          <w:szCs w:val="14"/>
          <w:color w:val="auto"/>
        </w:rPr>
      </w:pPr>
    </w:p>
    <w:p>
      <w:pPr>
        <w:ind w:left="1740" w:right="259" w:hanging="420"/>
        <w:spacing w:after="0" w:line="284"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covenant defeasance shall not cause the Trustee to have a conflicting interest as defined in Section 6.9 and for purposes of the Trust Indenture Act with respect to any securities of the Issuer;</w:t>
      </w:r>
    </w:p>
    <w:p>
      <w:pPr>
        <w:spacing w:after="0" w:line="51" w:lineRule="exact"/>
        <w:rPr>
          <w:rFonts w:ascii="Times New Roman" w:cs="Times New Roman" w:eastAsia="Times New Roman" w:hAnsi="Times New Roman"/>
          <w:sz w:val="14"/>
          <w:szCs w:val="14"/>
          <w:color w:val="auto"/>
        </w:rPr>
      </w:pPr>
    </w:p>
    <w:p>
      <w:pPr>
        <w:ind w:left="1740" w:right="799" w:hanging="420"/>
        <w:spacing w:after="0" w:line="284"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covenant defeasance shall not result in a breach or violation of, or constitute a default under any agreement or instrument to which the Issuer is a party or by which it is bound;</w:t>
      </w:r>
    </w:p>
    <w:p>
      <w:pPr>
        <w:spacing w:after="0" w:line="51" w:lineRule="exact"/>
        <w:rPr>
          <w:rFonts w:ascii="Times New Roman" w:cs="Times New Roman" w:eastAsia="Times New Roman" w:hAnsi="Times New Roman"/>
          <w:sz w:val="14"/>
          <w:szCs w:val="14"/>
          <w:color w:val="auto"/>
        </w:rPr>
      </w:pPr>
    </w:p>
    <w:p>
      <w:pPr>
        <w:ind w:left="1740" w:right="319" w:hanging="420"/>
        <w:spacing w:after="0" w:line="284"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covenant defeasance shall not cause any Securities then listed on any registered national securities exchange under the Exchange Act to be delisted;</w:t>
      </w:r>
    </w:p>
    <w:p>
      <w:pPr>
        <w:spacing w:after="0" w:line="51" w:lineRule="exact"/>
        <w:rPr>
          <w:rFonts w:ascii="Times New Roman" w:cs="Times New Roman" w:eastAsia="Times New Roman" w:hAnsi="Times New Roman"/>
          <w:sz w:val="14"/>
          <w:szCs w:val="14"/>
          <w:color w:val="auto"/>
        </w:rPr>
      </w:pPr>
    </w:p>
    <w:p>
      <w:pPr>
        <w:ind w:left="1740" w:right="259" w:hanging="420"/>
        <w:spacing w:after="0" w:line="262"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shall have delivered to the Trustee an Officers’ Certificate and Opinion of Counsel to the effect that the beneficial owners of the Securities of such series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and</w:t>
      </w:r>
    </w:p>
    <w:p>
      <w:pPr>
        <w:spacing w:after="0" w:line="66" w:lineRule="exact"/>
        <w:rPr>
          <w:rFonts w:ascii="Times New Roman" w:cs="Times New Roman" w:eastAsia="Times New Roman" w:hAnsi="Times New Roman"/>
          <w:sz w:val="14"/>
          <w:szCs w:val="14"/>
          <w:color w:val="auto"/>
        </w:rPr>
      </w:pPr>
    </w:p>
    <w:p>
      <w:pPr>
        <w:ind w:left="1740" w:right="439" w:hanging="420"/>
        <w:spacing w:after="0" w:line="268"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shall have delivered to the Trustee an Officers’ Certificate and an Opinion of Counsel, each stating that all conditions precedent provided for relating to the covenant defeasance contemplated by this provision have been complied with.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1"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200900" cy="32385"/>
                    </a:xfrm>
                    <a:prstGeom prst="rect">
                      <a:avLst/>
                    </a:prstGeom>
                    <a:noFill/>
                  </pic:spPr>
                </pic:pic>
              </a:graphicData>
            </a:graphic>
          </wp:anchor>
        </w:drawing>
        <w:t>SECTION 10.2 APPLICATION BY TRUSTEE OF FUNDS DEPOSITED FOR PAYMENT OF SECURITIES</w:t>
      </w:r>
    </w:p>
    <w:p>
      <w:pPr>
        <w:spacing w:after="0" w:line="178" w:lineRule="exact"/>
        <w:rPr>
          <w:sz w:val="20"/>
          <w:szCs w:val="20"/>
          <w:color w:val="auto"/>
        </w:rPr>
      </w:pPr>
    </w:p>
    <w:p>
      <w:pPr>
        <w:ind w:left="200" w:right="219" w:firstLine="344"/>
        <w:spacing w:after="0" w:line="262" w:lineRule="auto"/>
        <w:rPr>
          <w:sz w:val="20"/>
          <w:szCs w:val="20"/>
          <w:color w:val="auto"/>
        </w:rPr>
      </w:pPr>
      <w:r>
        <w:rPr>
          <w:rFonts w:ascii="Times New Roman" w:cs="Times New Roman" w:eastAsia="Times New Roman" w:hAnsi="Times New Roman"/>
          <w:sz w:val="14"/>
          <w:szCs w:val="14"/>
          <w:color w:val="auto"/>
        </w:rPr>
        <w:t>Subject to Section 10.4, all moneys deposited with the Trustee (or other trustee) pursuant to Section 10.1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10.3 REPAYMENT OF MONEYS HELD BY PAYING AGENT</w:t>
      </w:r>
    </w:p>
    <w:p>
      <w:pPr>
        <w:spacing w:after="0" w:line="178" w:lineRule="exact"/>
        <w:rPr>
          <w:sz w:val="20"/>
          <w:szCs w:val="20"/>
          <w:color w:val="auto"/>
        </w:rPr>
      </w:pPr>
    </w:p>
    <w:p>
      <w:pPr>
        <w:ind w:left="200" w:right="499" w:firstLine="344"/>
        <w:spacing w:after="0" w:line="268"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10.4 RETURN OF MONEYS HELD BY TRUSTEE AND PAYING AGENT UNCLAIMED FOR TWO YEARS</w:t>
      </w:r>
    </w:p>
    <w:p>
      <w:pPr>
        <w:spacing w:after="0" w:line="178" w:lineRule="exact"/>
        <w:rPr>
          <w:sz w:val="20"/>
          <w:szCs w:val="20"/>
          <w:color w:val="auto"/>
        </w:rPr>
      </w:pPr>
    </w:p>
    <w:p>
      <w:pPr>
        <w:ind w:left="200" w:right="239" w:firstLine="344"/>
        <w:spacing w:after="0" w:line="255" w:lineRule="auto"/>
        <w:rPr>
          <w:sz w:val="20"/>
          <w:szCs w:val="20"/>
          <w:color w:val="auto"/>
        </w:rPr>
      </w:pPr>
      <w:r>
        <w:rPr>
          <w:rFonts w:ascii="Times New Roman" w:cs="Times New Roman" w:eastAsia="Times New Roman" w:hAnsi="Times New Roman"/>
          <w:sz w:val="14"/>
          <w:szCs w:val="14"/>
          <w:color w:val="auto"/>
        </w:rPr>
        <w:t>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that the Trustee or such paying agent, before being required to make any such repayment with respect to moneys deposited with it for any payment in respect of Registered Securities of any series, shall at the cost and expense of the Issuer, send to Holders of such Securities in accordance with Applicable Procedures notice, that such moneys remain and that, after a date specified therein, which shall not be less than 30 days from the date of such mailing, any unclaimed balance of such money then remaining will be repaid to the Issuer.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9"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10.5 INDEMNITY FOR U.S. GOVERNMENT OBLIGATIONS</w:t>
      </w:r>
    </w:p>
    <w:p>
      <w:pPr>
        <w:spacing w:after="0" w:line="178" w:lineRule="exact"/>
        <w:rPr>
          <w:sz w:val="20"/>
          <w:szCs w:val="20"/>
          <w:color w:val="auto"/>
        </w:rPr>
      </w:pPr>
    </w:p>
    <w:p>
      <w:pPr>
        <w:ind w:left="200" w:right="819" w:firstLine="344"/>
        <w:spacing w:after="0" w:line="284" w:lineRule="auto"/>
        <w:rPr>
          <w:sz w:val="20"/>
          <w:szCs w:val="20"/>
          <w:color w:val="auto"/>
        </w:rPr>
      </w:pPr>
      <w:r>
        <w:rPr>
          <w:rFonts w:ascii="Times New Roman" w:cs="Times New Roman" w:eastAsia="Times New Roman" w:hAnsi="Times New Roman"/>
          <w:sz w:val="14"/>
          <w:szCs w:val="14"/>
          <w:color w:val="auto"/>
        </w:rPr>
        <w:t>The Issuer shall pay and indemnify the Trustee against any tax, fee or other charge imposed on or assessed against the U.S. Government Obligations deposited pursuant to Section 10.1 or the principal or interest received in respect of such obligations.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10.6 EFFECT ON SUBORDINATION PROVISIONS</w:t>
      </w:r>
    </w:p>
    <w:p>
      <w:pPr>
        <w:spacing w:after="0" w:line="94" w:lineRule="exact"/>
        <w:rPr>
          <w:sz w:val="20"/>
          <w:szCs w:val="20"/>
          <w:color w:val="auto"/>
        </w:rPr>
      </w:pPr>
    </w:p>
    <w:p>
      <w:pPr>
        <w:ind w:left="200" w:right="219" w:firstLine="344"/>
        <w:spacing w:after="0" w:line="254" w:lineRule="auto"/>
        <w:rPr>
          <w:sz w:val="20"/>
          <w:szCs w:val="20"/>
          <w:color w:val="auto"/>
        </w:rPr>
      </w:pPr>
      <w:r>
        <w:rPr>
          <w:rFonts w:ascii="Times New Roman" w:cs="Times New Roman" w:eastAsia="Times New Roman" w:hAnsi="Times New Roman"/>
          <w:sz w:val="14"/>
          <w:szCs w:val="14"/>
          <w:color w:val="auto"/>
        </w:rPr>
        <w:t>Unless otherwise expressly established pursuant to Section 2.3 with respect to the Subordinated Securities of any series, the provisions of Section 11.13 hereof, insofar as they pertain to the Subordinated Securities of such series, and the Subordination Provisions established pursuant to Section 2.3(9) with respect to such series, are hereby expressly made subject to the provisions for satisfaction and discharge and defeasance and covenant defeasance set forth in Section 10.1 hereof and, anything herein to the contrary notwithstanding, upon the effectiveness of such satisfaction and discharge and defeasance and covenant defeasance pursuant to Section 10.1 with respect to the Securities of such series, such Securities shall thereupon cease to be so subordinated and shall no longer be subject to the provisions of Section 11.13 or the Subordination Provisions established pursuant to Section 2.3(9) with respect to such series and, without limitation to the foregoing, all moneys, U.S. Government Obligations and other securities or property deposited with the Trustee (or other qualifying trustee) in trust in connection with such satisfaction and discharge, defeasance or covenant defeasance, as the case may be, and all proceeds therefrom may be applied to pay the principal of, premium, if any, and interest, if any, on, and mandatory sinking fund payments, if any, with respect to the Securities of such series as and when the same shall become due and payable notwithstanding the provisions of Section 11.13 or such Subordination Provisions.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60" w:lineRule="exact"/>
        <w:rPr>
          <w:sz w:val="20"/>
          <w:szCs w:val="20"/>
          <w:color w:val="auto"/>
        </w:rPr>
      </w:pPr>
    </w:p>
    <w:p>
      <w:pPr>
        <w:jc w:val="center"/>
        <w:ind w:left="1660" w:right="200"/>
        <w:spacing w:after="0" w:line="287" w:lineRule="auto"/>
        <w:rPr>
          <w:sz w:val="20"/>
          <w:szCs w:val="20"/>
          <w:color w:val="auto"/>
        </w:rPr>
      </w:pPr>
      <w:r>
        <w:rPr>
          <w:rFonts w:ascii="Times New Roman" w:cs="Times New Roman" w:eastAsia="Times New Roman" w:hAnsi="Times New Roman"/>
          <w:sz w:val="14"/>
          <w:szCs w:val="14"/>
          <w:b w:val="1"/>
          <w:bCs w:val="1"/>
          <w:color w:val="auto"/>
        </w:rPr>
        <w:t>SECTION 11.1 INCORPORATORS, STOCKHOLDERS, OFFICERS AND DIRECTORS OF ISSUER EXEMPT FROM INDIVIDUAL LIABILITY</w:t>
      </w:r>
    </w:p>
    <w:p>
      <w:pPr>
        <w:spacing w:after="0" w:line="123" w:lineRule="exact"/>
        <w:rPr>
          <w:sz w:val="20"/>
          <w:szCs w:val="20"/>
          <w:color w:val="auto"/>
        </w:rPr>
      </w:pPr>
    </w:p>
    <w:p>
      <w:pPr>
        <w:ind w:left="200" w:right="359" w:firstLine="344"/>
        <w:spacing w:after="0" w:line="259"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9"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11.2 PROVISIONS OF INDENTURE FOR THE SOLE BENEFIT OF PARTIES AND HOLDERS OF SECURITIES</w:t>
      </w:r>
    </w:p>
    <w:p>
      <w:pPr>
        <w:spacing w:after="0" w:line="178" w:lineRule="exact"/>
        <w:rPr>
          <w:sz w:val="20"/>
          <w:szCs w:val="20"/>
          <w:color w:val="auto"/>
        </w:rPr>
      </w:pPr>
    </w:p>
    <w:p>
      <w:pPr>
        <w:ind w:left="200" w:right="279" w:firstLine="344"/>
        <w:spacing w:after="0" w:line="259" w:lineRule="auto"/>
        <w:rPr>
          <w:sz w:val="20"/>
          <w:szCs w:val="20"/>
          <w:color w:val="auto"/>
        </w:rPr>
      </w:pPr>
      <w:r>
        <w:rPr>
          <w:rFonts w:ascii="Times New Roman" w:cs="Times New Roman" w:eastAsia="Times New Roman" w:hAnsi="Times New Roman"/>
          <w:sz w:val="14"/>
          <w:szCs w:val="14"/>
          <w:color w:val="auto"/>
        </w:rPr>
        <w:t>Nothing in this Indenture or in the Securities, expressed or implied, shall give or be construed to give to any person, firm or corporation, other than the parties thereto and their successors and the Holders of the Securities and, in the case of the Subordinated Securities of any series, the holders of Senior Indebtedness with respect to such series, any legal or equitable right, remedy or claim under this Indenture or under any covenant or provision herein contained, all such covenants and provisions being for the sole benefit of the parties hereto and their successors and of the Holders of the Securities and, in the case of the Subordinated Securities of any series, the holders of Senior Indebtedness with respect to such series.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11.3 SUCCESSORS AND ASSIGNS OF ISSUER BOUND BY INDENTURE</w:t>
      </w:r>
    </w:p>
    <w:p>
      <w:pPr>
        <w:spacing w:after="0" w:line="178" w:lineRule="exact"/>
        <w:rPr>
          <w:sz w:val="20"/>
          <w:szCs w:val="20"/>
          <w:color w:val="auto"/>
        </w:rPr>
      </w:pPr>
    </w:p>
    <w:p>
      <w:pPr>
        <w:ind w:left="200" w:right="539" w:firstLine="344"/>
        <w:spacing w:after="0" w:line="284"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contained by or in behalf of the Issuer shall bind its successors and assigns, whether so expressed or not.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11.4 NOTICES AND DEMANDS ON ISSUER, TRUSTEE AND HOLDERS OF SECURITIES</w:t>
      </w:r>
    </w:p>
    <w:p>
      <w:pPr>
        <w:spacing w:after="0" w:line="178" w:lineRule="exact"/>
        <w:rPr>
          <w:sz w:val="20"/>
          <w:szCs w:val="20"/>
          <w:color w:val="auto"/>
        </w:rPr>
      </w:pPr>
    </w:p>
    <w:p>
      <w:pPr>
        <w:ind w:left="200" w:right="279" w:firstLine="344"/>
        <w:spacing w:after="0" w:line="259" w:lineRule="auto"/>
        <w:rPr>
          <w:sz w:val="20"/>
          <w:szCs w:val="20"/>
          <w:color w:val="auto"/>
        </w:rPr>
      </w:pPr>
      <w:r>
        <w:rPr>
          <w:rFonts w:ascii="Times New Roman" w:cs="Times New Roman" w:eastAsia="Times New Roman" w:hAnsi="Times New Roman"/>
          <w:sz w:val="14"/>
          <w:szCs w:val="14"/>
          <w:color w:val="auto"/>
        </w:rPr>
        <w:t>Any notice, request, direction, consent or communication made pursuant to the provisions of this Indenture or the Notes shall be in writing and delivered in person, sent by facsimile, sent by electronic mail in pdf format, delivered by commercial courier service or mailed by first-class mail, postage prepaid, addressed (until another address of the Issuer is filed by the Issuer with the Trustee) to: Avea Technologies, Inc., 555 Ellis Street, Mountain View, California, 94043, Attention: [ ], or by being e-mailed to [ ] or faxed to[ ] and to the Trustee at [ ] or by being e-mailed to [ ] or faxed to [ ].</w:t>
      </w:r>
    </w:p>
    <w:p>
      <w:pPr>
        <w:spacing w:after="0" w:line="143" w:lineRule="exact"/>
        <w:rPr>
          <w:sz w:val="20"/>
          <w:szCs w:val="20"/>
          <w:color w:val="auto"/>
        </w:rPr>
      </w:pPr>
    </w:p>
    <w:p>
      <w:pPr>
        <w:jc w:val="both"/>
        <w:ind w:left="200" w:right="559" w:firstLine="344"/>
        <w:spacing w:after="0" w:line="268" w:lineRule="auto"/>
        <w:rPr>
          <w:sz w:val="20"/>
          <w:szCs w:val="20"/>
          <w:color w:val="auto"/>
        </w:rPr>
      </w:pPr>
      <w:r>
        <w:rPr>
          <w:rFonts w:ascii="Times New Roman" w:cs="Times New Roman" w:eastAsia="Times New Roman" w:hAnsi="Times New Roman"/>
          <w:sz w:val="14"/>
          <w:szCs w:val="14"/>
          <w:color w:val="auto"/>
        </w:rPr>
        <w:t>Where this Indenture provides for notice to Holders of Registered Securities, such notice shall be sufficiently given (unless otherwise herein expressly provided) if in writing and mailed, first-class mail, postage prepaid, to each Holder entitled thereto, at his last address as it appears in the Security register.</w:t>
      </w:r>
    </w:p>
    <w:p>
      <w:pPr>
        <w:spacing w:after="0" w:line="135" w:lineRule="exact"/>
        <w:rPr>
          <w:sz w:val="20"/>
          <w:szCs w:val="20"/>
          <w:color w:val="auto"/>
        </w:rPr>
      </w:pPr>
    </w:p>
    <w:p>
      <w:pPr>
        <w:ind w:left="200" w:right="219" w:firstLine="344"/>
        <w:spacing w:after="0" w:line="254" w:lineRule="auto"/>
        <w:rPr>
          <w:sz w:val="20"/>
          <w:szCs w:val="20"/>
          <w:color w:val="auto"/>
        </w:rPr>
      </w:pPr>
      <w:r>
        <w:rPr>
          <w:rFonts w:ascii="Times New Roman" w:cs="Times New Roman" w:eastAsia="Times New Roman" w:hAnsi="Times New Roman"/>
          <w:sz w:val="14"/>
          <w:szCs w:val="14"/>
          <w:color w:val="auto"/>
        </w:rPr>
        <w:t>The Trustee agrees to accept and act upon instructions or directions pursuant to this Indenture sent by e-mail, pdf, facsimile transmission or other similar electronic methods; provided, however, that the Trustee shall have received an Officers’ Certificate (which need not comply with Section 314 of the Trust Indenture Act or Section 11.5 hereof) listing the names and titles of the persons designated to give such instructions or directions and containing specimen signatures of such designated persons, which certificate shall be amended and replaced whenever a person is to be added or deleted from the listing. If the Issuer elects to give the Trustee e-mail or facsimile instructions (or instructions by a similar electronic method) and the Trustee acts upon such instructions, the Trustee’s understanding of such instructions shall be deemed controlling. The Trustee shall not be liable for any losses, costs or expenses arising directly or indirectly from the Trustee’s reliance upon and compliance with such instructions that the Trustee believes, in the absence of negligence and willful misconduct, to be genuine and to have been sent by one of the persons named on the then most recent certificate referred to above notwithstanding that such instructions conflict or are inconsistent with a subsequent written instruction. The Issuer agrees to assume all risks arising out of the use of such electronic methods to submit the instructions and directions to the Trustee, including without limitation the risk of the Trustee acting on unauthorized instructions, and the risk of interception and misuse of electronic communications by third parties.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39" w:right="1440" w:bottom="1440" w:gutter="0" w:footer="0" w:header="0"/>
        </w:sectPr>
      </w:pPr>
    </w:p>
    <w:bookmarkStart w:id="98" w:name="page99"/>
    <w:bookmarkEnd w:id="98"/>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Notwithstanding any other provision of this Indenture or any Security of any series other than a provision that expressly states that this paragraph is not applicable to the Securities of such series, when this Indenture or any Security provides for notice of any event (including any notice of redemption) to a Holder of Securities in global form (whether by mail or otherwise), such notice shall be sufficiently given if given to the Depositary for such Security (or its designee) pursuant to the customary procedures of such Depositary.</w:t>
      </w:r>
    </w:p>
    <w:p>
      <w:pPr>
        <w:spacing w:after="0" w:line="140" w:lineRule="exact"/>
        <w:rPr>
          <w:sz w:val="20"/>
          <w:szCs w:val="20"/>
          <w:color w:val="auto"/>
        </w:rPr>
      </w:pPr>
    </w:p>
    <w:p>
      <w:pPr>
        <w:ind w:left="200" w:right="299" w:firstLine="344"/>
        <w:spacing w:after="0" w:line="259" w:lineRule="auto"/>
        <w:rPr>
          <w:sz w:val="20"/>
          <w:szCs w:val="20"/>
          <w:color w:val="auto"/>
        </w:rPr>
      </w:pPr>
      <w:r>
        <w:rPr>
          <w:rFonts w:ascii="Times New Roman" w:cs="Times New Roman" w:eastAsia="Times New Roman" w:hAnsi="Times New Roman"/>
          <w:sz w:val="14"/>
          <w:szCs w:val="14"/>
          <w:color w:val="auto"/>
        </w:rPr>
        <w:t>In any case where notice to such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3" w:lineRule="exact"/>
        <w:rPr>
          <w:sz w:val="20"/>
          <w:szCs w:val="20"/>
          <w:color w:val="auto"/>
        </w:rPr>
      </w:pPr>
    </w:p>
    <w:p>
      <w:pPr>
        <w:ind w:left="200" w:right="399" w:firstLine="344"/>
        <w:spacing w:after="0" w:line="268" w:lineRule="auto"/>
        <w:rPr>
          <w:sz w:val="20"/>
          <w:szCs w:val="20"/>
          <w:color w:val="auto"/>
        </w:rPr>
      </w:pPr>
      <w:r>
        <w:rPr>
          <w:rFonts w:ascii="Times New Roman" w:cs="Times New Roman" w:eastAsia="Times New Roman" w:hAnsi="Times New Roman"/>
          <w:sz w:val="14"/>
          <w:szCs w:val="14"/>
          <w:color w:val="auto"/>
        </w:rPr>
        <w:t>In case, by reason of the suspension of or irregularities in regular mail service, it shall be impracticable to mail notice to the Issuer when such notice is required to the given pursuant to any provision of this Indenture, then any manner of giving such notice as shall be reasonably satisfactory to the Trustee shall be deemed to be a sufficient giving of such notice.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11.5 OFFICERS’ CERTIFICATES AND OPINIONS OF COUNSEL; STATEMENTS TO BE CONTAINED THEREIN</w:t>
      </w:r>
    </w:p>
    <w:p>
      <w:pPr>
        <w:spacing w:after="0" w:line="178" w:lineRule="exact"/>
        <w:rPr>
          <w:sz w:val="20"/>
          <w:szCs w:val="20"/>
          <w:color w:val="auto"/>
        </w:rPr>
      </w:pPr>
    </w:p>
    <w:p>
      <w:pPr>
        <w:ind w:left="200" w:right="219" w:firstLine="344"/>
        <w:spacing w:after="0" w:line="259" w:lineRule="auto"/>
        <w:rPr>
          <w:sz w:val="20"/>
          <w:szCs w:val="20"/>
          <w:color w:val="auto"/>
        </w:rPr>
      </w:pPr>
      <w:r>
        <w:rPr>
          <w:rFonts w:ascii="Times New Roman" w:cs="Times New Roman" w:eastAsia="Times New Roman" w:hAnsi="Times New Roman"/>
          <w:sz w:val="14"/>
          <w:szCs w:val="14"/>
          <w:color w:val="auto"/>
        </w:rPr>
        <w:t>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3" w:lineRule="exact"/>
        <w:rPr>
          <w:sz w:val="20"/>
          <w:szCs w:val="20"/>
          <w:color w:val="auto"/>
        </w:rPr>
      </w:pPr>
    </w:p>
    <w:p>
      <w:pPr>
        <w:ind w:left="200" w:right="339" w:firstLine="344"/>
        <w:spacing w:after="0" w:line="258" w:lineRule="auto"/>
        <w:rPr>
          <w:sz w:val="20"/>
          <w:szCs w:val="20"/>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41" w:right="1440" w:bottom="1440" w:gutter="0" w:footer="0" w:header="0"/>
        </w:sectPr>
      </w:pPr>
    </w:p>
    <w:bookmarkStart w:id="99" w:name="page100"/>
    <w:bookmarkEnd w:id="99"/>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0" w:lineRule="exact"/>
        <w:rPr>
          <w:sz w:val="20"/>
          <w:szCs w:val="20"/>
          <w:color w:val="auto"/>
        </w:rPr>
      </w:pPr>
    </w:p>
    <w:p>
      <w:pPr>
        <w:ind w:left="200" w:right="259" w:firstLine="344"/>
        <w:spacing w:after="0" w:line="256" w:lineRule="auto"/>
        <w:rPr>
          <w:sz w:val="20"/>
          <w:szCs w:val="20"/>
          <w:color w:val="auto"/>
        </w:rPr>
      </w:pPr>
      <w:r>
        <w:rPr>
          <w:rFonts w:ascii="Times New Roman" w:cs="Times New Roman" w:eastAsia="Times New Roman" w:hAnsi="Times New Roman"/>
          <w:sz w:val="14"/>
          <w:szCs w:val="14"/>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or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47" w:lineRule="exact"/>
        <w:rPr>
          <w:sz w:val="20"/>
          <w:szCs w:val="20"/>
          <w:color w:val="auto"/>
        </w:rPr>
      </w:pPr>
    </w:p>
    <w:p>
      <w:pPr>
        <w:ind w:left="200" w:right="319" w:firstLine="344"/>
        <w:spacing w:after="0" w:line="262" w:lineRule="auto"/>
        <w:rPr>
          <w:sz w:val="20"/>
          <w:szCs w:val="20"/>
          <w:color w:val="auto"/>
        </w:rPr>
      </w:pPr>
      <w:r>
        <w:rPr>
          <w:rFonts w:ascii="Times New Roman" w:cs="Times New Roman" w:eastAsia="Times New Roman" w:hAnsi="Times New Roman"/>
          <w:sz w:val="14"/>
          <w:szCs w:val="14"/>
          <w:color w:val="auto"/>
        </w:rPr>
        <w:t>Any certificate, statement or opinion of an officer of the Issuer or of counsel may be based upon a certificate, report or opinion of or representations by an accountant, firm of accountants, investment bank or appraisal firm, unless such officer or counsel, as the case may be, knows that the certificate, report or opinion of or representations with respect to the matters upon which his certificate, statement or opinion may be based as aforesaid are erroneous, or in the exercise of reasonable care should know that the same are erroneous.</w:t>
      </w:r>
    </w:p>
    <w:p>
      <w:pPr>
        <w:spacing w:after="0" w:line="140" w:lineRule="exact"/>
        <w:rPr>
          <w:sz w:val="20"/>
          <w:szCs w:val="20"/>
          <w:color w:val="auto"/>
        </w:rPr>
      </w:pPr>
    </w:p>
    <w:p>
      <w:pPr>
        <w:ind w:left="200" w:right="499" w:firstLine="344"/>
        <w:spacing w:after="0" w:line="284" w:lineRule="auto"/>
        <w:rPr>
          <w:sz w:val="20"/>
          <w:szCs w:val="20"/>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5" w:lineRule="exact"/>
        <w:rPr>
          <w:sz w:val="20"/>
          <w:szCs w:val="20"/>
          <w:color w:val="auto"/>
        </w:rPr>
      </w:pPr>
    </w:p>
    <w:p>
      <w:pPr>
        <w:ind w:left="200" w:right="219" w:firstLine="344"/>
        <w:spacing w:after="0" w:line="284" w:lineRule="auto"/>
        <w:rPr>
          <w:sz w:val="20"/>
          <w:szCs w:val="20"/>
          <w:color w:val="auto"/>
        </w:rPr>
      </w:pPr>
      <w:r>
        <w:rPr>
          <w:rFonts w:ascii="Times New Roman" w:cs="Times New Roman" w:eastAsia="Times New Roman" w:hAnsi="Times New Roman"/>
          <w:sz w:val="14"/>
          <w:szCs w:val="14"/>
          <w:color w:val="auto"/>
        </w:rPr>
        <w:t>Any certificate, report or opinion of any independent firm of public accountants filed with and directed to the Trustee shall contain a statement that such firm is independent.</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11.6 PAYMENTS DUE ON SATURDAYS, SUNDAYS AND HOLIDAYS</w:t>
      </w:r>
    </w:p>
    <w:p>
      <w:pPr>
        <w:spacing w:after="0" w:line="178" w:lineRule="exact"/>
        <w:rPr>
          <w:sz w:val="20"/>
          <w:szCs w:val="20"/>
          <w:color w:val="auto"/>
        </w:rPr>
      </w:pPr>
    </w:p>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t>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additional interest shall accrue for the period after such date.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11.7 CONFLICT OF ANY PROVISION OF INDENTURE WITH TRUST INDENTURE ACT</w:t>
      </w:r>
    </w:p>
    <w:p>
      <w:pPr>
        <w:spacing w:after="0" w:line="178" w:lineRule="exact"/>
        <w:rPr>
          <w:sz w:val="20"/>
          <w:szCs w:val="20"/>
          <w:color w:val="auto"/>
        </w:rPr>
      </w:pPr>
    </w:p>
    <w:p>
      <w:pPr>
        <w:ind w:left="200" w:right="379" w:firstLine="344"/>
        <w:spacing w:after="0" w:line="268"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duties imposed by, or with another provision (an “incorporated provision”) included in this Indenture by operation of Sections 310 to 318, inclusive, of the Trust Indenture Act, such imposed duties or incorporated provision shall control.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1"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200900" cy="32385"/>
                    </a:xfrm>
                    <a:prstGeom prst="rect">
                      <a:avLst/>
                    </a:prstGeom>
                    <a:noFill/>
                  </pic:spPr>
                </pic:pic>
              </a:graphicData>
            </a:graphic>
          </wp:anchor>
        </w:drawing>
        <w:t>SECTION 11.8 NEW YORK LAW TO GOVERN; WAIVER OF JURY TRIAL</w:t>
      </w:r>
    </w:p>
    <w:p>
      <w:pPr>
        <w:spacing w:after="0" w:line="178" w:lineRule="exact"/>
        <w:rPr>
          <w:sz w:val="20"/>
          <w:szCs w:val="20"/>
          <w:color w:val="auto"/>
        </w:rPr>
      </w:pPr>
    </w:p>
    <w:p>
      <w:pPr>
        <w:ind w:left="200" w:right="319" w:firstLine="344"/>
        <w:spacing w:after="0" w:line="324" w:lineRule="auto"/>
        <w:rPr>
          <w:sz w:val="20"/>
          <w:szCs w:val="20"/>
          <w:color w:val="auto"/>
        </w:rPr>
      </w:pPr>
      <w:r>
        <w:rPr>
          <w:rFonts w:ascii="Times New Roman" w:cs="Times New Roman" w:eastAsia="Times New Roman" w:hAnsi="Times New Roman"/>
          <w:sz w:val="13"/>
          <w:szCs w:val="13"/>
          <w:color w:val="auto"/>
        </w:rPr>
        <w:t>THIS INDENTURE AND EACH SECURITY SHALL BE DEEMED TO BE A CONTRACT UNDER THE LAWS OF THE STATE OF NEW YORK, AND FOR ALL PURPOSES SHALL BE GOVERNED BY AND CONSTRUED IN ACCORDANCE WITH THE LAWS OF SUCH STATE.</w:t>
      </w:r>
    </w:p>
    <w:p>
      <w:pPr>
        <w:spacing w:after="0" w:line="102" w:lineRule="exact"/>
        <w:rPr>
          <w:sz w:val="20"/>
          <w:szCs w:val="20"/>
          <w:color w:val="auto"/>
        </w:rPr>
      </w:pPr>
    </w:p>
    <w:p>
      <w:pPr>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11.9 COUNTERPARTS</w:t>
      </w:r>
    </w:p>
    <w:p>
      <w:pPr>
        <w:spacing w:after="0" w:line="178" w:lineRule="exact"/>
        <w:rPr>
          <w:sz w:val="20"/>
          <w:szCs w:val="20"/>
          <w:color w:val="auto"/>
        </w:rPr>
      </w:pPr>
    </w:p>
    <w:p>
      <w:pPr>
        <w:ind w:left="200" w:right="259" w:firstLine="344"/>
        <w:spacing w:after="0" w:line="262"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11.10 EFFECT OF HEADINGS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Article and Section headings herein and the Table of Contents are for convenience only and shall not affect the construction hereof.</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11.11 SECURITIES IN A FOREIGN CURRENCY</w:t>
      </w:r>
    </w:p>
    <w:p>
      <w:pPr>
        <w:spacing w:after="0" w:line="178" w:lineRule="exact"/>
        <w:rPr>
          <w:sz w:val="20"/>
          <w:szCs w:val="20"/>
          <w:color w:val="auto"/>
        </w:rPr>
      </w:pPr>
    </w:p>
    <w:p>
      <w:pPr>
        <w:ind w:left="200" w:right="239" w:firstLine="344"/>
        <w:spacing w:after="0" w:line="254" w:lineRule="auto"/>
        <w:rPr>
          <w:sz w:val="20"/>
          <w:szCs w:val="20"/>
          <w:color w:val="auto"/>
        </w:rPr>
      </w:pPr>
      <w:r>
        <w:rPr>
          <w:rFonts w:ascii="Times New Roman" w:cs="Times New Roman" w:eastAsia="Times New Roman" w:hAnsi="Times New Roman"/>
          <w:sz w:val="14"/>
          <w:szCs w:val="14"/>
          <w:color w:val="auto"/>
        </w:rPr>
        <w:t>Unless otherwise specified in an Officers’ Certificate delivered pursuant to Section 2.3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Foreign Currency, then the principal amount of Securities of such series which shall be deemed to be Outstanding for the purpose of taking such action shall be that amount of Dollars that could be obtained for such amount at the “Market Exchange Rate”. For purposes of this Section 11.11, Market Exchange Rate shall mean the noon Dollar buying rate in The City of New York for cable transfers of such currency or currencies as published by the Federal Reserve Bank of New York as of the most recent available date. If such Market Exchange Rate is not available for any reason with respect to such currency, the paying agent shall use, in its sole discretion and without liability on its part, such quotation of the Federal Reserve Bank of New York or quotations from one or more major banks in The City of New York or in the country of issue of the currency in question, which for purposes of the euro shall be any member state of the European Union that has adopted the euro, as the paying agent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39" w:right="1440" w:bottom="1440" w:gutter="0" w:footer="0" w:header="0"/>
        </w:sectPr>
      </w:pPr>
    </w:p>
    <w:bookmarkStart w:id="101" w:name="page102"/>
    <w:bookmarkEnd w:id="101"/>
    <w:p>
      <w:pPr>
        <w:ind w:left="200" w:right="499" w:firstLine="34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All decisions and determinations of the paying agent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11.12 JUDGMENT CURRENCY</w:t>
      </w:r>
    </w:p>
    <w:p>
      <w:pPr>
        <w:spacing w:after="0" w:line="178" w:lineRule="exact"/>
        <w:rPr>
          <w:sz w:val="20"/>
          <w:szCs w:val="20"/>
          <w:color w:val="auto"/>
        </w:rPr>
      </w:pPr>
    </w:p>
    <w:p>
      <w:pPr>
        <w:ind w:left="200" w:right="239" w:firstLine="344"/>
        <w:spacing w:after="0" w:line="254" w:lineRule="auto"/>
        <w:rPr>
          <w:sz w:val="20"/>
          <w:szCs w:val="20"/>
          <w:color w:val="auto"/>
        </w:rPr>
      </w:pPr>
      <w:r>
        <w:rPr>
          <w:rFonts w:ascii="Times New Roman" w:cs="Times New Roman" w:eastAsia="Times New Roman" w:hAnsi="Times New Roman"/>
          <w:sz w:val="14"/>
          <w:szCs w:val="14"/>
          <w:color w:val="auto"/>
        </w:rPr>
        <w:t>The Issuer agrees, to the fullest extent that it may effectively do so under applicable law, that (a)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paying agent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paying agent could purchase in The City of New York the Required Currency with the Judgment Currency on the New York Banking Day preceding the day on which final unappealable judgment is entered and</w:t>
      </w:r>
    </w:p>
    <w:p>
      <w:pPr>
        <w:spacing w:after="0" w:line="3" w:lineRule="exact"/>
        <w:rPr>
          <w:sz w:val="20"/>
          <w:szCs w:val="20"/>
          <w:color w:val="auto"/>
        </w:rPr>
      </w:pPr>
    </w:p>
    <w:p>
      <w:pPr>
        <w:ind w:left="200" w:right="239" w:firstLine="3"/>
        <w:spacing w:after="0" w:line="253" w:lineRule="auto"/>
        <w:tabs>
          <w:tab w:leader="none" w:pos="39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11.13 AGREEMENT TO SUBORDINATE</w:t>
      </w:r>
    </w:p>
    <w:p>
      <w:pPr>
        <w:spacing w:after="0" w:line="178" w:lineRule="exact"/>
        <w:rPr>
          <w:sz w:val="20"/>
          <w:szCs w:val="20"/>
          <w:color w:val="auto"/>
        </w:rPr>
      </w:pPr>
    </w:p>
    <w:p>
      <w:pPr>
        <w:ind w:left="200" w:right="239" w:firstLine="344"/>
        <w:spacing w:after="0" w:line="259" w:lineRule="auto"/>
        <w:rPr>
          <w:sz w:val="20"/>
          <w:szCs w:val="20"/>
          <w:color w:val="auto"/>
        </w:rPr>
      </w:pPr>
      <w:r>
        <w:rPr>
          <w:rFonts w:ascii="Times New Roman" w:cs="Times New Roman" w:eastAsia="Times New Roman" w:hAnsi="Times New Roman"/>
          <w:sz w:val="14"/>
          <w:szCs w:val="14"/>
          <w:color w:val="auto"/>
        </w:rPr>
        <w:t>The Issuer, for itself, its successors and assigns, covenants and agrees, and each Holder of Subordinated Securities of any series by his acceptance thereof, likewise covenants and agrees, that the payment of the principal of (and premium, if any) and interest, if any, on, and mandatory sinking fund payments, if any, in respect of each and all of the Subordinated Securities of such series shall be expressly subordinated, to the extent and in the manner provided in the Subordination Provisions established with respect to the Subordinated Securities of such series pursuant to Section 2.3(9) hereof, in right of payment to the prior payment in full of all Senior Indebtedness with respect to such series.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11.14 FORCE MAJEURE</w:t>
      </w:r>
    </w:p>
    <w:p>
      <w:pPr>
        <w:spacing w:after="0" w:line="178" w:lineRule="exact"/>
        <w:rPr>
          <w:sz w:val="20"/>
          <w:szCs w:val="20"/>
          <w:color w:val="auto"/>
        </w:rPr>
      </w:pPr>
    </w:p>
    <w:p>
      <w:pPr>
        <w:ind w:left="200" w:right="219" w:firstLine="344"/>
        <w:spacing w:after="0" w:line="259"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1"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SECTION 11.15 U.S.A. PATRIOT ACT</w:t>
      </w:r>
    </w:p>
    <w:p>
      <w:pPr>
        <w:spacing w:after="0" w:line="178" w:lineRule="exact"/>
        <w:rPr>
          <w:sz w:val="20"/>
          <w:szCs w:val="20"/>
          <w:color w:val="auto"/>
        </w:rPr>
      </w:pPr>
    </w:p>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12.1 APPLICABILITY OF ARTICLE</w:t>
      </w:r>
    </w:p>
    <w:p>
      <w:pPr>
        <w:spacing w:after="0" w:line="178" w:lineRule="exact"/>
        <w:rPr>
          <w:sz w:val="20"/>
          <w:szCs w:val="20"/>
          <w:color w:val="auto"/>
        </w:rPr>
      </w:pPr>
    </w:p>
    <w:p>
      <w:pPr>
        <w:ind w:left="200" w:right="319" w:firstLine="344"/>
        <w:spacing w:after="0" w:line="284" w:lineRule="auto"/>
        <w:rPr>
          <w:sz w:val="20"/>
          <w:szCs w:val="20"/>
          <w:color w:val="auto"/>
        </w:rPr>
      </w:pPr>
      <w:r>
        <w:rPr>
          <w:rFonts w:ascii="Times New Roman" w:cs="Times New Roman" w:eastAsia="Times New Roman" w:hAnsi="Times New Roman"/>
          <w:sz w:val="14"/>
          <w:szCs w:val="14"/>
          <w:color w:val="auto"/>
        </w:rPr>
        <w:t>The provisions of this Article shall be applicable to the Securities of any series which are redeemable before their maturity or to any sinking fund for the retirement of Securities of a series except as otherwise specified as contemplated by Section 2.3 for Securities of such series.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12.2 NOTICE OF REDEMPTION; PARTIAL REDEMPTIONS</w:t>
      </w:r>
    </w:p>
    <w:p>
      <w:pPr>
        <w:spacing w:after="0" w:line="178" w:lineRule="exact"/>
        <w:rPr>
          <w:sz w:val="20"/>
          <w:szCs w:val="20"/>
          <w:color w:val="auto"/>
        </w:rPr>
      </w:pPr>
    </w:p>
    <w:p>
      <w:pPr>
        <w:ind w:left="200" w:right="319" w:firstLine="344"/>
        <w:spacing w:after="0" w:line="256" w:lineRule="auto"/>
        <w:rPr>
          <w:sz w:val="20"/>
          <w:szCs w:val="20"/>
          <w:color w:val="auto"/>
        </w:rPr>
      </w:pPr>
      <w:r>
        <w:rPr>
          <w:rFonts w:ascii="Times New Roman" w:cs="Times New Roman" w:eastAsia="Times New Roman" w:hAnsi="Times New Roman"/>
          <w:sz w:val="14"/>
          <w:szCs w:val="14"/>
          <w:color w:val="auto"/>
        </w:rPr>
        <w:t>Notice of redemption to the Holders of Registered Securities of any series to be redeemed as a whole or in part at the option of the Issuer shall be given by sending notice of such redemption, at least 30 days and not more than 60 days prior to the date fixed for redemption, to such Holders of Securities of such series in accordance with Applicable Procedures, except that redemption notices may be delivered more than 60 days prior to a redemption if the notice is issued in connection with defeasance, covenant defeasance or discharge of any series of Securities pursuant to Section 10.1. Any notice which is sent in accordance with Applicable Procedures shall be conclusively presumed to have been duly given, whether or not the Holder receives the notice. Any defect in the notice to the Holder of any Security of a series designated for redemption as a whole or in part shall not affect the validity of the proceedings for the redemption of such Security of such series.</w:t>
      </w:r>
    </w:p>
    <w:p>
      <w:pPr>
        <w:spacing w:after="0" w:line="147" w:lineRule="exact"/>
        <w:rPr>
          <w:sz w:val="20"/>
          <w:szCs w:val="20"/>
          <w:color w:val="auto"/>
        </w:rPr>
      </w:pPr>
    </w:p>
    <w:p>
      <w:pPr>
        <w:ind w:left="200" w:right="239" w:firstLine="344"/>
        <w:spacing w:after="0" w:line="256" w:lineRule="auto"/>
        <w:rPr>
          <w:sz w:val="20"/>
          <w:szCs w:val="20"/>
          <w:color w:val="auto"/>
        </w:rPr>
      </w:pPr>
      <w:r>
        <w:rPr>
          <w:rFonts w:ascii="Times New Roman" w:cs="Times New Roman" w:eastAsia="Times New Roman" w:hAnsi="Times New Roman"/>
          <w:sz w:val="14"/>
          <w:szCs w:val="14"/>
          <w:color w:val="auto"/>
        </w:rPr>
        <w:t>The notice of redemption to each such Holder shall identify the Securities to be redeemed (including CUSIP number(s)) and specify the aggregate principal amount of Securities of such series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but not including, the date fixed for redemption will be paid as specified in such notice and that on and after said date interest thereon or on the portions thereof to be redeemed will cease to accrue. In case any Security of a series is to be redeemed in part only, the notice of redemption to Holders of Securities of the series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39" w:right="1440" w:bottom="1440" w:gutter="0" w:footer="0" w:header="0"/>
        </w:sectPr>
      </w:pPr>
    </w:p>
    <w:bookmarkStart w:id="103" w:name="page104"/>
    <w:bookmarkEnd w:id="103"/>
    <w:p>
      <w:pPr>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notice of redemption of Securities of any series to be redeemed at the option of the Issuer shall be given by the Issuer or, at the Issuer’s request at least five (5) Business Days prior to the date the notice must be mailed to Holders (unless the Trustee otherwise agrees to a shorter period), by the Trustee in the name and at the expense of the Issuer.</w:t>
      </w:r>
    </w:p>
    <w:p>
      <w:pPr>
        <w:spacing w:after="0" w:line="135" w:lineRule="exact"/>
        <w:rPr>
          <w:sz w:val="20"/>
          <w:szCs w:val="20"/>
          <w:color w:val="auto"/>
        </w:rPr>
      </w:pPr>
    </w:p>
    <w:p>
      <w:pPr>
        <w:ind w:left="200" w:right="259" w:firstLine="344"/>
        <w:spacing w:after="0" w:line="256" w:lineRule="auto"/>
        <w:rPr>
          <w:sz w:val="20"/>
          <w:szCs w:val="20"/>
          <w:color w:val="auto"/>
        </w:rPr>
      </w:pPr>
      <w:r>
        <w:rPr>
          <w:rFonts w:ascii="Times New Roman" w:cs="Times New Roman" w:eastAsia="Times New Roman" w:hAnsi="Times New Roman"/>
          <w:sz w:val="14"/>
          <w:szCs w:val="14"/>
          <w:color w:val="auto"/>
        </w:rPr>
        <w:t>On or before 11:00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3.4) an amount of money sufficient to redeem on the redemption date all the Securities of such series so called for redemption at the appropriate redemption price, together with accrued interest to the date fixed for redemption. The Issuer will deliver to the Trustee at least 70 days prior to the date fixed for redemption, or such shorter period as shall be acceptable to the Trustee, an Officers’ Certificate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44" w:lineRule="exact"/>
        <w:rPr>
          <w:sz w:val="20"/>
          <w:szCs w:val="20"/>
          <w:color w:val="auto"/>
        </w:rPr>
      </w:pPr>
    </w:p>
    <w:p>
      <w:pPr>
        <w:ind w:left="200" w:right="299" w:firstLine="344"/>
        <w:spacing w:after="0" w:line="256" w:lineRule="auto"/>
        <w:rPr>
          <w:sz w:val="20"/>
          <w:szCs w:val="20"/>
          <w:color w:val="auto"/>
        </w:rPr>
      </w:pPr>
      <w:r>
        <w:rPr>
          <w:rFonts w:ascii="Times New Roman" w:cs="Times New Roman" w:eastAsia="Times New Roman" w:hAnsi="Times New Roman"/>
          <w:sz w:val="14"/>
          <w:szCs w:val="14"/>
          <w:color w:val="auto"/>
        </w:rPr>
        <w:t>If less than all the Securities of a series are to be redeemed, the Trustee shall select, in such manner as it shall deemed appropriate and fair in accordance with the procedures of the Depositary, in its sole discretion,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12.3 PAYMENT OF SECURITIES CALLED FOR REDEMPTION</w:t>
      </w:r>
    </w:p>
    <w:p>
      <w:pPr>
        <w:spacing w:after="0" w:line="178" w:lineRule="exact"/>
        <w:rPr>
          <w:sz w:val="20"/>
          <w:szCs w:val="20"/>
          <w:color w:val="auto"/>
        </w:rPr>
      </w:pPr>
    </w:p>
    <w:p>
      <w:pPr>
        <w:ind w:left="200" w:right="259" w:firstLine="344"/>
        <w:spacing w:after="0" w:line="254" w:lineRule="auto"/>
        <w:rPr>
          <w:sz w:val="20"/>
          <w:szCs w:val="20"/>
          <w:color w:val="auto"/>
        </w:rPr>
      </w:pPr>
      <w:r>
        <w:rPr>
          <w:rFonts w:ascii="Times New Roman" w:cs="Times New Roman" w:eastAsia="Times New Roman" w:hAnsi="Times New Roman"/>
          <w:sz w:val="14"/>
          <w:szCs w:val="14"/>
          <w:color w:val="auto"/>
        </w:rPr>
        <w:t>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6.5 and 10.4,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payment of interest becoming due on or prior to, but not including, the date fixed for redemption shall be payable to the Holder of such Registered Securities registered as such on the relevant record date, subject to the terms and provisions of Section 2.3 and 2.7 hereof.</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1" w:right="1440" w:bottom="1440" w:gutter="0" w:footer="0" w:header="0"/>
        </w:sectPr>
      </w:pPr>
    </w:p>
    <w:bookmarkStart w:id="104" w:name="page105"/>
    <w:bookmarkEnd w:id="104"/>
    <w:p>
      <w:pPr>
        <w:ind w:left="200" w:right="299" w:firstLine="344"/>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35" w:lineRule="exact"/>
        <w:rPr>
          <w:sz w:val="20"/>
          <w:szCs w:val="20"/>
          <w:color w:val="auto"/>
        </w:rPr>
      </w:pPr>
    </w:p>
    <w:p>
      <w:pPr>
        <w:jc w:val="both"/>
        <w:ind w:left="200" w:right="259" w:firstLine="344"/>
        <w:spacing w:after="0" w:line="268" w:lineRule="auto"/>
        <w:rPr>
          <w:sz w:val="20"/>
          <w:szCs w:val="20"/>
          <w:color w:val="auto"/>
        </w:rPr>
      </w:pPr>
      <w:r>
        <w:rPr>
          <w:rFonts w:ascii="Times New Roman" w:cs="Times New Roman" w:eastAsia="Times New Roman" w:hAnsi="Times New Roman"/>
          <w:sz w:val="14"/>
          <w:szCs w:val="14"/>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12.4 EXCLUSION OF CERTAIN SECURITIES FROM ELIGIBILITY FOR SELECTION FOR REDEMPTION</w:t>
      </w:r>
    </w:p>
    <w:p>
      <w:pPr>
        <w:spacing w:after="0" w:line="178" w:lineRule="exact"/>
        <w:rPr>
          <w:sz w:val="20"/>
          <w:szCs w:val="20"/>
          <w:color w:val="auto"/>
        </w:rPr>
      </w:pPr>
    </w:p>
    <w:p>
      <w:pPr>
        <w:ind w:left="200" w:right="239" w:firstLine="344"/>
        <w:spacing w:after="0" w:line="262" w:lineRule="auto"/>
        <w:rPr>
          <w:sz w:val="20"/>
          <w:szCs w:val="20"/>
          <w:color w:val="auto"/>
        </w:rPr>
      </w:pPr>
      <w:r>
        <w:rPr>
          <w:rFonts w:ascii="Times New Roman" w:cs="Times New Roman" w:eastAsia="Times New Roman" w:hAnsi="Times New Roman"/>
          <w:sz w:val="14"/>
          <w:szCs w:val="14"/>
          <w:color w:val="auto"/>
        </w:rPr>
        <w:t>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12.5 MANDATORY AND OPTIONAL SINKING FUNDS</w:t>
      </w:r>
    </w:p>
    <w:p>
      <w:pPr>
        <w:spacing w:after="0" w:line="178" w:lineRule="exact"/>
        <w:rPr>
          <w:sz w:val="20"/>
          <w:szCs w:val="20"/>
          <w:color w:val="auto"/>
        </w:rPr>
      </w:pPr>
    </w:p>
    <w:p>
      <w:pPr>
        <w:ind w:left="200" w:right="319" w:firstLine="344"/>
        <w:spacing w:after="0" w:line="262"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“mandatory sinking fund payment,” and any payment in excess of such minimum amount provided for by the terms of the Securities of any series is herein referred to as an “optional sinking fund payment.” The date on which a sinking fund payment is to be made is herein referred to as the “sinking fund payment date.”</w:t>
      </w:r>
    </w:p>
    <w:p>
      <w:pPr>
        <w:spacing w:after="0" w:line="140" w:lineRule="exact"/>
        <w:rPr>
          <w:sz w:val="20"/>
          <w:szCs w:val="20"/>
          <w:color w:val="auto"/>
        </w:rPr>
      </w:pPr>
    </w:p>
    <w:p>
      <w:pPr>
        <w:ind w:left="200" w:right="299" w:firstLine="344"/>
        <w:spacing w:after="0" w:line="256" w:lineRule="auto"/>
        <w:rPr>
          <w:sz w:val="20"/>
          <w:szCs w:val="20"/>
          <w:color w:val="auto"/>
        </w:rPr>
      </w:pPr>
      <w:r>
        <w:rPr>
          <w:rFonts w:ascii="Times New Roman" w:cs="Times New Roman" w:eastAsia="Times New Roman" w:hAnsi="Times New Roman"/>
          <w:sz w:val="14"/>
          <w:szCs w:val="14"/>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47" w:lineRule="exact"/>
        <w:rPr>
          <w:sz w:val="20"/>
          <w:szCs w:val="20"/>
          <w:color w:val="auto"/>
        </w:rPr>
      </w:pPr>
    </w:p>
    <w:p>
      <w:pPr>
        <w:ind w:left="200" w:right="239" w:firstLine="344"/>
        <w:spacing w:after="0" w:line="252" w:lineRule="auto"/>
        <w:rPr>
          <w:sz w:val="20"/>
          <w:szCs w:val="20"/>
          <w:color w:val="auto"/>
        </w:rPr>
      </w:pPr>
      <w:r>
        <w:rPr>
          <w:rFonts w:ascii="Times New Roman" w:cs="Times New Roman" w:eastAsia="Times New Roman" w:hAnsi="Times New Roman"/>
          <w:sz w:val="14"/>
          <w:szCs w:val="14"/>
          <w:color w:val="auto"/>
        </w:rPr>
        <w:t>On or before the 60th day next preceding each sinking fund payment date for any series, the Issuer will deliver to the Trustee an Officers’ Certificate (which need not contain the statements required by Section 11.5) (a) specifying the portion of the mandatory sinking fund payment to be satisfied by payment of cash and the portion to be satisfied by credit of Securities of such series and the basis for such credit,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w:t>
      </w:r>
    </w:p>
    <w:p>
      <w:pPr>
        <w:spacing w:after="0" w:line="9" w:lineRule="exact"/>
        <w:rPr>
          <w:sz w:val="20"/>
          <w:szCs w:val="20"/>
          <w:color w:val="auto"/>
        </w:rPr>
      </w:pPr>
    </w:p>
    <w:p>
      <w:pPr>
        <w:ind w:left="4440" w:right="2219" w:hanging="4237"/>
        <w:spacing w:after="0" w:line="435" w:lineRule="auto"/>
        <w:tabs>
          <w:tab w:leader="none" w:pos="41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Issuer will make no optional sinking fund payment with respect to such series as provided in this Section. 58</w:t>
      </w:r>
    </w:p>
    <w:p>
      <w:pPr>
        <w:sectPr>
          <w:pgSz w:w="11900" w:h="16838" w:orient="portrait"/>
          <w:cols w:equalWidth="0" w:num="1">
            <w:col w:w="9019"/>
          </w:cols>
          <w:pgMar w:left="1440" w:top="241" w:right="1440" w:bottom="1440" w:gutter="0" w:footer="0" w:header="0"/>
        </w:sectPr>
      </w:pPr>
    </w:p>
    <w:bookmarkStart w:id="105" w:name="page106"/>
    <w:bookmarkEnd w:id="105"/>
    <w:p>
      <w:pPr>
        <w:ind w:left="200" w:right="239" w:firstLine="344"/>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the equivalent thereof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The Trustee shall select, in the manner provided in Section 12.2,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w:t>
      </w:r>
    </w:p>
    <w:p>
      <w:pPr>
        <w:spacing w:after="0" w:line="3" w:lineRule="exact"/>
        <w:rPr>
          <w:sz w:val="20"/>
          <w:szCs w:val="20"/>
          <w:color w:val="auto"/>
        </w:rPr>
      </w:pPr>
    </w:p>
    <w:p>
      <w:pPr>
        <w:ind w:left="200" w:right="219" w:firstLine="3"/>
        <w:spacing w:after="0" w:line="252" w:lineRule="auto"/>
        <w:tabs>
          <w:tab w:leader="none" w:pos="39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12.2 (and with the effect provided in Section 12.3)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51" w:lineRule="exact"/>
        <w:rPr>
          <w:sz w:val="20"/>
          <w:szCs w:val="20"/>
          <w:color w:val="auto"/>
        </w:rPr>
      </w:pPr>
    </w:p>
    <w:p>
      <w:pPr>
        <w:ind w:left="200" w:right="359" w:firstLine="344"/>
        <w:spacing w:after="0" w:line="284" w:lineRule="auto"/>
        <w:rPr>
          <w:sz w:val="20"/>
          <w:szCs w:val="20"/>
          <w:color w:val="auto"/>
        </w:rPr>
      </w:pPr>
      <w:r>
        <w:rPr>
          <w:rFonts w:ascii="Times New Roman" w:cs="Times New Roman" w:eastAsia="Times New Roman" w:hAnsi="Times New Roman"/>
          <w:sz w:val="14"/>
          <w:szCs w:val="14"/>
          <w:color w:val="auto"/>
        </w:rPr>
        <w:t>On or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25" w:lineRule="exact"/>
        <w:rPr>
          <w:sz w:val="20"/>
          <w:szCs w:val="20"/>
          <w:color w:val="auto"/>
        </w:rPr>
      </w:pPr>
    </w:p>
    <w:p>
      <w:pPr>
        <w:ind w:left="200" w:right="259" w:firstLine="344"/>
        <w:spacing w:after="0" w:line="255" w:lineRule="auto"/>
        <w:rPr>
          <w:sz w:val="20"/>
          <w:szCs w:val="20"/>
          <w:color w:val="auto"/>
        </w:rPr>
      </w:pPr>
      <w:r>
        <w:rPr>
          <w:rFonts w:ascii="Times New Roman" w:cs="Times New Roman" w:eastAsia="Times New Roman" w:hAnsi="Times New Roman"/>
          <w:sz w:val="14"/>
          <w:szCs w:val="14"/>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giving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V and held for the payment of all such Securities. In case such Event of Default shall have been waived as provided in Section 5.10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41" w:right="1440" w:bottom="1440" w:gutter="0" w:footer="0" w:header="0"/>
        </w:sectPr>
      </w:pPr>
    </w:p>
    <w:bookmarkStart w:id="106" w:name="page107"/>
    <w:bookmarkEnd w:id="106"/>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200900" cy="32385"/>
                    </a:xfrm>
                    <a:prstGeom prst="rect">
                      <a:avLst/>
                    </a:prstGeom>
                    <a:noFill/>
                  </pic:spPr>
                </pic:pic>
              </a:graphicData>
            </a:graphic>
          </wp:anchor>
        </w:drawing>
        <w:t>IN WITNESS WHEREOF, the parties hereto have caused this Indenture to be duly executed as of the date first written above.</w:t>
      </w:r>
    </w:p>
    <w:p>
      <w:pPr>
        <w:spacing w:after="0" w:line="19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AEVA TECHNOLOGIES, INC.</w:t>
      </w:r>
    </w:p>
    <w:p>
      <w:pPr>
        <w:spacing w:after="0" w:line="17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[________________________], as Trustee</w:t>
      </w:r>
    </w:p>
    <w:p>
      <w:pPr>
        <w:spacing w:after="0" w:line="1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41" w:right="1440" w:bottom="1440" w:gutter="0" w:footer="0" w:header="0"/>
        </w:sectPr>
      </w:pPr>
    </w:p>
    <w:bookmarkStart w:id="107" w:name="page108"/>
    <w:bookmarkEnd w:id="10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135890</wp:posOffset>
            </wp:positionV>
            <wp:extent cx="4163695" cy="6292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4163695" cy="62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June 3, 2026</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Aeva Technologies, Inc.</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555 Ellis Street</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Mountain View, CA 94043</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Re: </w:t>
      </w:r>
      <w:r>
        <w:rPr>
          <w:rFonts w:ascii="Times New Roman" w:cs="Times New Roman" w:eastAsia="Times New Roman" w:hAnsi="Times New Roman"/>
          <w:sz w:val="14"/>
          <w:szCs w:val="14"/>
          <w:b w:val="1"/>
          <w:bCs w:val="1"/>
          <w:color w:val="auto"/>
        </w:rPr>
        <w:t>Registration Statement on Form S-3</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0" w:lineRule="exact"/>
        <w:rPr>
          <w:sz w:val="20"/>
          <w:szCs w:val="20"/>
          <w:color w:val="auto"/>
        </w:rPr>
      </w:pPr>
    </w:p>
    <w:p>
      <w:pPr>
        <w:jc w:val="both"/>
        <w:ind w:left="200" w:right="279"/>
        <w:spacing w:after="0" w:line="269" w:lineRule="auto"/>
        <w:rPr>
          <w:sz w:val="20"/>
          <w:szCs w:val="20"/>
          <w:color w:val="auto"/>
        </w:rPr>
      </w:pPr>
      <w:r>
        <w:rPr>
          <w:rFonts w:ascii="Times New Roman" w:cs="Times New Roman" w:eastAsia="Times New Roman" w:hAnsi="Times New Roman"/>
          <w:sz w:val="14"/>
          <w:szCs w:val="14"/>
          <w:color w:val="auto"/>
        </w:rPr>
        <w:t>We have acted as counsel to Aeva Technologies,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its filing on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 connection with the registration pursuant to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of the Company’s Securities (as defined below).</w:t>
      </w:r>
    </w:p>
    <w:p>
      <w:pPr>
        <w:spacing w:after="0" w:line="135" w:lineRule="exact"/>
        <w:rPr>
          <w:sz w:val="20"/>
          <w:szCs w:val="20"/>
          <w:color w:val="auto"/>
        </w:rPr>
      </w:pPr>
    </w:p>
    <w:p>
      <w:pPr>
        <w:ind w:left="200" w:right="379"/>
        <w:spacing w:after="0" w:line="262" w:lineRule="auto"/>
        <w:rPr>
          <w:sz w:val="20"/>
          <w:szCs w:val="20"/>
          <w:color w:val="auto"/>
        </w:rPr>
      </w:pPr>
      <w:r>
        <w:rPr>
          <w:rFonts w:ascii="Times New Roman" w:cs="Times New Roman" w:eastAsia="Times New Roman" w:hAnsi="Times New Roman"/>
          <w:sz w:val="14"/>
          <w:szCs w:val="14"/>
          <w:color w:val="auto"/>
        </w:rPr>
        <w:t>The Registration Statement relates to the proposed offering, from time to time, pursuant to Rule 415 under the Act, as set forth in the Registration Statement, the base prospectus contained therein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any future supplements to the Prospectus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w:t>
      </w:r>
    </w:p>
    <w:p>
      <w:pPr>
        <w:ind w:left="200" w:right="619" w:firstLine="3"/>
        <w:spacing w:after="0" w:line="251" w:lineRule="auto"/>
        <w:tabs>
          <w:tab w:leader="none" w:pos="36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of one or more series of the following securities: shares of the Company’s common stock, $0.0001 par value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shares of the Company’s preferred stock, $0.0001 par value per share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debt securities (the “</w:t>
      </w:r>
      <w:r>
        <w:rPr>
          <w:rFonts w:ascii="Times New Roman" w:cs="Times New Roman" w:eastAsia="Times New Roman" w:hAnsi="Times New Roman"/>
          <w:sz w:val="14"/>
          <w:szCs w:val="14"/>
          <w:b w:val="1"/>
          <w:bCs w:val="1"/>
          <w:i w:val="1"/>
          <w:iCs w:val="1"/>
          <w:color w:val="auto"/>
        </w:rPr>
        <w:t>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warrants to purchase any of the securities described above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(ii) of up to 3,509,719 shares (the “</w:t>
      </w:r>
      <w:r>
        <w:rPr>
          <w:rFonts w:ascii="Times New Roman" w:cs="Times New Roman" w:eastAsia="Times New Roman" w:hAnsi="Times New Roman"/>
          <w:sz w:val="14"/>
          <w:szCs w:val="14"/>
          <w:b w:val="1"/>
          <w:bCs w:val="1"/>
          <w:i w:val="1"/>
          <w:iCs w:val="1"/>
          <w:color w:val="auto"/>
        </w:rPr>
        <w:t>Reoffer Shares</w:t>
      </w:r>
      <w:r>
        <w:rPr>
          <w:rFonts w:ascii="Times New Roman" w:cs="Times New Roman" w:eastAsia="Times New Roman" w:hAnsi="Times New Roman"/>
          <w:sz w:val="14"/>
          <w:szCs w:val="14"/>
          <w:color w:val="auto"/>
        </w:rPr>
        <w: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Stock to be offered and sold by LG Innotek Co., Ltd. or their permitted transferees in the manner contemplated by the Prospectus and</w:t>
      </w:r>
    </w:p>
    <w:p>
      <w:pPr>
        <w:spacing w:after="0" w:line="1" w:lineRule="exact"/>
        <w:rPr>
          <w:rFonts w:ascii="Times New Roman" w:cs="Times New Roman" w:eastAsia="Times New Roman" w:hAnsi="Times New Roman"/>
          <w:sz w:val="14"/>
          <w:szCs w:val="14"/>
          <w:color w:val="auto"/>
        </w:rPr>
      </w:pPr>
    </w:p>
    <w:p>
      <w:pPr>
        <w:ind w:left="200" w:right="659" w:firstLine="3"/>
        <w:spacing w:after="0" w:line="262" w:lineRule="auto"/>
        <w:tabs>
          <w:tab w:leader="none" w:pos="44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to be offered and sold by one or more additional selling stockholders to be named in a Prospectus Supplement. The Common Stock, the Preferred Stock, the Debt Securities, and the Warrants, are hereinafter referred to,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4"/>
          <w:szCs w:val="14"/>
          <w:color w:val="auto"/>
        </w:rPr>
        <w:t>The Securities are to be sold from time to time as set forth in the Registration Statement, the Prospectus contained therein and the Prospectus Supplements. The Debt Securities are to be issued in one or more series pursuant to an indenture (including any officer’s certificate or supplemental indenture used to issue the Debt Securities,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and any supplemental indentures thereto, to be entered into between the Company and a bank or trust company to be named in the Indenture and duly qualified under the Trust Indenture Act of 1939, as amended (the “</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as trustee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the form of which is filed as an exhibit to the Registration Statement. The Warrants will be issued pursuant to a warrant agreement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to be entered into between the Company and a bank or trust company, as warrant agent (each,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Agent</w:t>
      </w:r>
      <w:r>
        <w:rPr>
          <w:rFonts w:ascii="Times New Roman" w:cs="Times New Roman" w:eastAsia="Times New Roman" w:hAnsi="Times New Roman"/>
          <w:sz w:val="14"/>
          <w:szCs w:val="14"/>
          <w:color w:val="auto"/>
        </w:rPr>
        <w:t>”), which will be in a form to be filed as an exhibit to a post-effective amendment to the Registration Statement or a Current Report on Form 8-K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incorporated in such Registration Statement by reference. 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cs="Times New Roman" w:eastAsia="Times New Roman" w:hAnsi="Times New Roman"/>
          <w:sz w:val="14"/>
          <w:szCs w:val="14"/>
          <w:b w:val="1"/>
          <w:bCs w:val="1"/>
          <w:i w:val="1"/>
          <w:iCs w:val="1"/>
          <w:color w:val="auto"/>
        </w:rPr>
        <w:t>Certificate of Designation</w:t>
      </w:r>
      <w:r>
        <w:rPr>
          <w:rFonts w:ascii="Times New Roman" w:cs="Times New Roman" w:eastAsia="Times New Roman" w:hAnsi="Times New Roman"/>
          <w:sz w:val="14"/>
          <w:szCs w:val="14"/>
          <w:color w:val="auto"/>
        </w:rPr>
        <w:t>”), which will be in a form to be filed as an exhibit to a post-effective amendment to the Registration Statement or a Current Report on Form 8-K incorporated in such Registration Statement by reference.</w:t>
      </w:r>
    </w:p>
    <w:p>
      <w:pPr>
        <w:spacing w:after="0" w:line="150" w:lineRule="exact"/>
        <w:rPr>
          <w:sz w:val="20"/>
          <w:szCs w:val="20"/>
          <w:color w:val="auto"/>
        </w:rPr>
      </w:pPr>
    </w:p>
    <w:p>
      <w:pPr>
        <w:ind w:left="200" w:right="219"/>
        <w:spacing w:after="0" w:line="262" w:lineRule="auto"/>
        <w:rPr>
          <w:sz w:val="20"/>
          <w:szCs w:val="20"/>
          <w:color w:val="auto"/>
        </w:rPr>
      </w:pPr>
      <w:r>
        <w:rPr>
          <w:rFonts w:ascii="Times New Roman" w:cs="Times New Roman" w:eastAsia="Times New Roman" w:hAnsi="Times New Roman"/>
          <w:sz w:val="14"/>
          <w:szCs w:val="14"/>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64770</wp:posOffset>
            </wp:positionV>
            <wp:extent cx="4163695" cy="267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4163695" cy="26797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453390</wp:posOffset>
            </wp:positionV>
            <wp:extent cx="5462270" cy="66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5462270" cy="666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8" w:name="page109"/>
    <w:bookmarkEnd w:id="108"/>
    <w:p>
      <w:pPr>
        <w:ind w:left="20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200900" cy="32385"/>
                    </a:xfrm>
                    <a:prstGeom prst="rect">
                      <a:avLst/>
                    </a:prstGeom>
                    <a:noFill/>
                  </pic:spPr>
                </pic:pic>
              </a:graphicData>
            </a:graphic>
          </wp:anchor>
        </w:drawing>
        <w:t>amendments thereto (including post-effective amendments), will have become effective under the Act; (v) that a Prospectus Supplement will have been filed with the Commission describing the Securities (other than the Resale Shares) offered thereby; (vi) that the Securities will be issued and sold in compliance with applicable U.S. federal and state securities laws and in the manner stated in the Registration Statement, the Prospectus and/or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that the Indenture, and any supplemental indentures thereto, will be the legal, valid and binding obligation of each party thereto, other than the Company, enforceable against each such party in accordance with its terms, and will be duly qualified under the Trust Indenture Act, and that the applicable Trustee will be duly eligible to serve as trustee; (x) with respect to shares of Common Stock or Preferred Stock offered by the Company, that there will be sufficient Common Stock or Preferred Stock authorized under the Company’s organizational documents that are not otherwise reserved for issuance; and (xi)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Based on such examination, we are of the opinion that:</w:t>
      </w:r>
    </w:p>
    <w:p>
      <w:pPr>
        <w:spacing w:after="0" w:line="103" w:lineRule="exact"/>
        <w:rPr>
          <w:sz w:val="20"/>
          <w:szCs w:val="20"/>
          <w:color w:val="auto"/>
        </w:rPr>
      </w:pPr>
    </w:p>
    <w:p>
      <w:pPr>
        <w:ind w:left="540" w:right="239" w:hanging="337"/>
        <w:spacing w:after="0" w:line="255" w:lineRule="auto"/>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shares of Common Stock (other than the Resale Shares), when both: (a) the Board of Directors of the Company or a duly constituted and acting committee thereof (such Board of Directors or committee being hereinafter referred to as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 In rendering the foregoing opinion, we have assumed that the Company will comply with all applicable notice requirements regarding uncertificated shares provided in the Delaware General Corporation Law.</w:t>
      </w:r>
    </w:p>
    <w:p>
      <w:pPr>
        <w:spacing w:after="0" w:line="71" w:lineRule="exact"/>
        <w:rPr>
          <w:rFonts w:ascii="Times New Roman" w:cs="Times New Roman" w:eastAsia="Times New Roman" w:hAnsi="Times New Roman"/>
          <w:sz w:val="14"/>
          <w:szCs w:val="14"/>
          <w:color w:val="auto"/>
        </w:rPr>
      </w:pPr>
    </w:p>
    <w:p>
      <w:pPr>
        <w:ind w:left="540" w:hanging="337"/>
        <w:spacing w:after="0"/>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Resale Shares, the Shares are validly issued, fully paid and nonassessable.</w:t>
      </w:r>
    </w:p>
    <w:p>
      <w:pPr>
        <w:spacing w:after="0" w:line="102" w:lineRule="exact"/>
        <w:rPr>
          <w:rFonts w:ascii="Times New Roman" w:cs="Times New Roman" w:eastAsia="Times New Roman" w:hAnsi="Times New Roman"/>
          <w:sz w:val="14"/>
          <w:szCs w:val="14"/>
          <w:color w:val="auto"/>
        </w:rPr>
      </w:pPr>
    </w:p>
    <w:p>
      <w:pPr>
        <w:ind w:left="540" w:right="219" w:hanging="337"/>
        <w:spacing w:after="0" w:line="255" w:lineRule="auto"/>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and the filing of the Certificate of Designation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 In rendering the foregoing opinion, we have assumed that the Company will comply with all applicable notice requirements regarding uncertificated shares provided in the Delaware General Corporation Law.</w:t>
      </w:r>
    </w:p>
    <w:p>
      <w:pPr>
        <w:spacing w:after="0" w:line="71" w:lineRule="exact"/>
        <w:rPr>
          <w:rFonts w:ascii="Times New Roman" w:cs="Times New Roman" w:eastAsia="Times New Roman" w:hAnsi="Times New Roman"/>
          <w:sz w:val="14"/>
          <w:szCs w:val="14"/>
          <w:color w:val="auto"/>
        </w:rPr>
      </w:pPr>
    </w:p>
    <w:p>
      <w:pPr>
        <w:ind w:left="540" w:right="279" w:hanging="337"/>
        <w:spacing w:after="0" w:line="284" w:lineRule="auto"/>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Indenture, when the Indenture has been duly authorized, executed and delivered by the Company, the Indenture will constitute a legal, valid and binding obligation of the Company, enforceable against the Company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55245</wp:posOffset>
            </wp:positionV>
            <wp:extent cx="4163695" cy="267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4163695" cy="26797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443230</wp:posOffset>
            </wp:positionV>
            <wp:extent cx="5462270" cy="666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5462270" cy="6667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9" w:name="page110"/>
    <w:bookmarkEnd w:id="109"/>
    <w:p>
      <w:pPr>
        <w:ind w:left="540" w:right="279" w:hanging="337"/>
        <w:spacing w:after="0" w:line="255" w:lineRule="auto"/>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With respect to the Debt Securities to be issued under the Indenture, when (a)(i) the terms of the Debt Securities have been duly established and authorized by the Company, (ii) the Indenture has been duly executed and delivered by the Company, (iii) the issuance and sale of the Debt Securities has been duly authorized by all necessary action (corporate or otherwise) and (iv) the Debt Securities have been duly executed by the Company and duly authenticated by the Trustee in accordance with the terms of the Indenture and any applicable supplemental indenture, and delivered to the purchasers thereof against payment of the consideration therefor duly approved by the Company, the Debt Securities will constitute legal, valid and binding obligations of the Company, enforceable against the Company in accordance with their terms and (b) when the Debt Securities to be offered and issued by the Company upon exercise of the Warrants have been issued by the Company against payment in full of the consideration and in accordance with the applicable Warrant, the Indenture and any applicable supplemental indenture, the Debt Securities will be duly authorized and legal, valid and binding obligations of the Company, enforceable against the Company in accordance with their terms.</w:t>
      </w:r>
    </w:p>
    <w:p>
      <w:pPr>
        <w:spacing w:after="0" w:line="73" w:lineRule="exact"/>
        <w:rPr>
          <w:rFonts w:ascii="Times New Roman" w:cs="Times New Roman" w:eastAsia="Times New Roman" w:hAnsi="Times New Roman"/>
          <w:sz w:val="14"/>
          <w:szCs w:val="14"/>
          <w:color w:val="auto"/>
        </w:rPr>
      </w:pPr>
    </w:p>
    <w:p>
      <w:pPr>
        <w:ind w:left="540" w:right="279" w:hanging="337"/>
        <w:spacing w:after="0" w:line="258" w:lineRule="auto"/>
        <w:tabs>
          <w:tab w:leader="none" w:pos="5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the purchasers or warrant agent, and the certificates for the Warrants have been duly executed and delivered by the Company and such purchasers or warrant agent, then the Warrants will be validly issued and will constitute valid and binding obligations of the Company, enforceable against the Company in accordance with their terms.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Our opinion that any document is legal, valid and binding is qualified as to:</w:t>
      </w:r>
    </w:p>
    <w:p>
      <w:pPr>
        <w:spacing w:after="0" w:line="103" w:lineRule="exact"/>
        <w:rPr>
          <w:sz w:val="20"/>
          <w:szCs w:val="20"/>
          <w:color w:val="auto"/>
        </w:rPr>
      </w:pPr>
    </w:p>
    <w:p>
      <w:pPr>
        <w:ind w:left="540" w:right="599" w:hanging="337"/>
        <w:spacing w:after="0" w:line="284" w:lineRule="auto"/>
        <w:tabs>
          <w:tab w:leader="none" w:pos="5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imposed by bankruptcy, insolvency, reorganization, arrangement, fraudulent conveyance, moratorium or other laws relating to or affecting the rights of creditors generally;</w:t>
      </w:r>
    </w:p>
    <w:p>
      <w:pPr>
        <w:spacing w:after="0" w:line="51" w:lineRule="exact"/>
        <w:rPr>
          <w:rFonts w:ascii="Times New Roman" w:cs="Times New Roman" w:eastAsia="Times New Roman" w:hAnsi="Times New Roman"/>
          <w:sz w:val="14"/>
          <w:szCs w:val="14"/>
          <w:color w:val="auto"/>
        </w:rPr>
      </w:pPr>
    </w:p>
    <w:p>
      <w:pPr>
        <w:ind w:left="540" w:hanging="337"/>
        <w:spacing w:after="0"/>
        <w:tabs>
          <w:tab w:leader="none" w:pos="5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indemnification and contribution, which may be limited by applicable law or equitable principles; and</w:t>
      </w:r>
    </w:p>
    <w:p>
      <w:pPr>
        <w:spacing w:after="0" w:line="102" w:lineRule="exact"/>
        <w:rPr>
          <w:rFonts w:ascii="Times New Roman" w:cs="Times New Roman" w:eastAsia="Times New Roman" w:hAnsi="Times New Roman"/>
          <w:sz w:val="14"/>
          <w:szCs w:val="14"/>
          <w:color w:val="auto"/>
        </w:rPr>
      </w:pPr>
    </w:p>
    <w:p>
      <w:pPr>
        <w:jc w:val="both"/>
        <w:ind w:left="540" w:right="539" w:hanging="337"/>
        <w:spacing w:after="0" w:line="268" w:lineRule="auto"/>
        <w:tabs>
          <w:tab w:leader="none" w:pos="5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35" w:lineRule="exact"/>
        <w:rPr>
          <w:sz w:val="20"/>
          <w:szCs w:val="20"/>
          <w:color w:val="auto"/>
        </w:rPr>
      </w:pPr>
    </w:p>
    <w:p>
      <w:pPr>
        <w:ind w:left="200" w:right="219"/>
        <w:spacing w:after="0" w:line="262" w:lineRule="auto"/>
        <w:rPr>
          <w:sz w:val="20"/>
          <w:szCs w:val="20"/>
          <w:color w:val="auto"/>
        </w:rPr>
      </w:pPr>
      <w:r>
        <w:rPr>
          <w:rFonts w:ascii="Times New Roman" w:cs="Times New Roman" w:eastAsia="Times New Roman" w:hAnsi="Times New Roman"/>
          <w:sz w:val="14"/>
          <w:szCs w:val="14"/>
          <w:color w:val="auto"/>
        </w:rPr>
        <w:t>We express no opinion as to the laws of any other jurisdiction, other than the Federal laws of the United States of America, the laws of the State of California (including in each case the rules or regulations promulgated thereunder or pursuant thereto), the Delaware General Corporation Law and, with respect to the Indenture, also the substantive laws of the State of New York, as in effect on the date hereof. We express no opinion as to enforceability of the New York choice-of-law provision contained in the Indenture.</w:t>
      </w:r>
    </w:p>
    <w:p>
      <w:pPr>
        <w:spacing w:after="0" w:line="140" w:lineRule="exact"/>
        <w:rPr>
          <w:sz w:val="20"/>
          <w:szCs w:val="20"/>
          <w:color w:val="auto"/>
        </w:rPr>
      </w:pPr>
    </w:p>
    <w:p>
      <w:pPr>
        <w:ind w:left="200" w:right="259"/>
        <w:spacing w:after="0" w:line="262"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 with respect to any part of the Registration Statement, including this opinion as an exhibit.</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 Gunderson Dettmer Stough Villeneuve Franklin &amp; Hachigian, LLP</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GUNDERSON DETTMER STOUGH VILLENEUVE FRANKLIN &amp; HACHIGIAN,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87630</wp:posOffset>
            </wp:positionV>
            <wp:extent cx="4163695" cy="267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4163695" cy="26797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476250</wp:posOffset>
            </wp:positionV>
            <wp:extent cx="5462270" cy="666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5462270" cy="6667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0" w:name="page111"/>
    <w:bookmarkEnd w:id="11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6" w:lineRule="exact"/>
        <w:rPr>
          <w:sz w:val="20"/>
          <w:szCs w:val="20"/>
          <w:color w:val="auto"/>
        </w:rPr>
      </w:pPr>
    </w:p>
    <w:p>
      <w:pPr>
        <w:ind w:left="200" w:right="239"/>
        <w:spacing w:after="0" w:line="268"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on Form S-3 of our report dated March 19, 2026 relating to the financial statements of Aeva Technologies, Inc. appearing in the Annual Report on Form 10-K of Aeva Technologies, Inc. for the year ended December 31, 2025. We also consent to the reference to us under the heading “Experts” in such Registration Statement.</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June 3, 2026</w:t>
      </w:r>
    </w:p>
    <w:p>
      <w:pPr>
        <w:sectPr>
          <w:pgSz w:w="11900" w:h="16838" w:orient="portrait"/>
          <w:cols w:equalWidth="0" w:num="1">
            <w:col w:w="9019"/>
          </w:cols>
          <w:pgMar w:left="1440" w:top="123" w:right="1440" w:bottom="1440" w:gutter="0" w:footer="0" w:header="0"/>
        </w:sectPr>
      </w:pPr>
    </w:p>
    <w:bookmarkStart w:id="111" w:name="page112"/>
    <w:bookmarkEnd w:id="111"/>
    <w:p>
      <w:pPr>
        <w:spacing w:after="0" w:line="62"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Aeva Technologies, Inc.</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3"/>
                <w:szCs w:val="23"/>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18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76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Common</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auto"/>
              </w:rPr>
              <w:t>5 Equity</w:t>
            </w: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457(r)</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auto"/>
              </w:rPr>
              <w:t>3,509,719</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$ 27.15</w:t>
            </w:r>
          </w:p>
        </w:tc>
        <w:tc>
          <w:tcPr>
            <w:tcW w:w="1120" w:type="dxa"/>
            <w:vAlign w:val="bottom"/>
            <w:gridSpan w:val="2"/>
            <w:vMerge w:val="continue"/>
          </w:tcPr>
          <w:p>
            <w:pPr>
              <w:spacing w:after="0"/>
              <w:rPr>
                <w:sz w:val="8"/>
                <w:szCs w:val="8"/>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0.0001381</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$ 13,159.39</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2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95,288,870.85</w:t>
            </w:r>
          </w:p>
        </w:tc>
        <w:tc>
          <w:tcPr>
            <w:tcW w:w="8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5"/>
                <w:szCs w:val="15"/>
                <w:color w:val="auto"/>
              </w:rPr>
              <w:t>par value</w:t>
            </w: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-3680460</wp:posOffset>
            </wp:positionV>
            <wp:extent cx="7213600" cy="5467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213600" cy="546798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per share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ind w:left="30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1"/>
        </w:trPr>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190"/>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221"/>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r>
      <w:tr>
        <w:trPr>
          <w:trHeight w:val="200"/>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$ 13,159.39</w:t>
            </w:r>
          </w:p>
        </w:tc>
      </w:tr>
      <w:tr>
        <w:trPr>
          <w:trHeight w:val="223"/>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95,288,870.85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2"/>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r>
      <w:tr>
        <w:trPr>
          <w:trHeight w:val="232"/>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r>
      <w:tr>
        <w:trPr>
          <w:trHeight w:val="232"/>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$ 13,159.39</w:t>
            </w: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120" w:hanging="184"/>
        <w:spacing w:after="0" w:line="245" w:lineRule="auto"/>
        <w:tabs>
          <w:tab w:leader="none" w:pos="220" w:val="left"/>
        </w:tabs>
        <w:numPr>
          <w:ilvl w:val="0"/>
          <w:numId w:val="85"/>
        </w:numPr>
        <w:rPr>
          <w:rFonts w:ascii="Arial" w:cs="Arial" w:eastAsia="Arial" w:hAnsi="Arial"/>
          <w:sz w:val="20"/>
          <w:szCs w:val="20"/>
          <w:color w:val="auto"/>
          <w:vertAlign w:val="superscript"/>
        </w:rPr>
      </w:pPr>
      <w:r>
        <w:rPr>
          <w:rFonts w:ascii="Arial" w:cs="Arial" w:eastAsia="Arial" w:hAnsi="Arial"/>
          <w:sz w:val="16"/>
          <w:szCs w:val="16"/>
          <w:color w:val="auto"/>
        </w:rPr>
        <w:t>The registrant is relying on Rule 456(b) and Rule 457(r) under the Securities Act of 1933, as amended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An indeterminate number of the securities of each identified class are being registered as may from time to time be offered at indeterminate prices, including an indeterminate number or amount of securities that may be issued upon settlement, exercise, conversion or exchange of securities offered hereunder, or pursuant to anti-dilution provisions. Separate consideration may or may not be received for securities that are issuable upon settlement, exercise, conversion or exchange of other securities or that are issued in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4756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02" w:lineRule="exact"/>
        <w:rPr>
          <w:sz w:val="20"/>
          <w:szCs w:val="20"/>
          <w:color w:val="auto"/>
        </w:rPr>
      </w:pPr>
    </w:p>
    <w:p>
      <w:pPr>
        <w:ind w:left="220" w:hanging="184"/>
        <w:spacing w:after="0"/>
        <w:tabs>
          <w:tab w:leader="none" w:pos="220" w:val="left"/>
        </w:tabs>
        <w:numPr>
          <w:ilvl w:val="0"/>
          <w:numId w:val="86"/>
        </w:numPr>
        <w:rPr>
          <w:rFonts w:ascii="Arial" w:cs="Arial" w:eastAsia="Arial" w:hAnsi="Arial"/>
          <w:sz w:val="21"/>
          <w:szCs w:val="21"/>
          <w:color w:val="auto"/>
          <w:vertAlign w:val="superscript"/>
        </w:rPr>
      </w:pPr>
      <w:r>
        <w:rPr>
          <w:rFonts w:ascii="Arial" w:cs="Arial" w:eastAsia="Arial" w:hAnsi="Arial"/>
          <w:sz w:val="17"/>
          <w:szCs w:val="17"/>
          <w:color w:val="auto"/>
        </w:rPr>
        <w:t>See Offering 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756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02" w:lineRule="exact"/>
        <w:rPr>
          <w:sz w:val="20"/>
          <w:szCs w:val="20"/>
          <w:color w:val="auto"/>
        </w:rPr>
      </w:pPr>
    </w:p>
    <w:p>
      <w:pPr>
        <w:ind w:left="220" w:hanging="184"/>
        <w:spacing w:after="0"/>
        <w:tabs>
          <w:tab w:leader="none" w:pos="220" w:val="left"/>
        </w:tabs>
        <w:numPr>
          <w:ilvl w:val="0"/>
          <w:numId w:val="87"/>
        </w:numPr>
        <w:rPr>
          <w:rFonts w:ascii="Arial" w:cs="Arial" w:eastAsia="Arial" w:hAnsi="Arial"/>
          <w:sz w:val="21"/>
          <w:szCs w:val="21"/>
          <w:color w:val="auto"/>
          <w:vertAlign w:val="superscript"/>
        </w:rPr>
      </w:pPr>
      <w:r>
        <w:rPr>
          <w:rFonts w:ascii="Arial" w:cs="Arial" w:eastAsia="Arial" w:hAnsi="Arial"/>
          <w:sz w:val="17"/>
          <w:szCs w:val="17"/>
          <w:color w:val="auto"/>
        </w:rPr>
        <w:t>See Offering 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756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1" w:lineRule="exact"/>
        <w:rPr>
          <w:sz w:val="20"/>
          <w:szCs w:val="20"/>
          <w:color w:val="auto"/>
        </w:rPr>
      </w:pPr>
    </w:p>
    <w:p>
      <w:pPr>
        <w:ind w:left="220" w:right="280" w:hanging="184"/>
        <w:spacing w:after="0" w:line="226" w:lineRule="auto"/>
        <w:tabs>
          <w:tab w:leader="none" w:pos="220" w:val="left"/>
        </w:tabs>
        <w:numPr>
          <w:ilvl w:val="0"/>
          <w:numId w:val="88"/>
        </w:numPr>
        <w:rPr>
          <w:rFonts w:ascii="Arial" w:cs="Arial" w:eastAsia="Arial" w:hAnsi="Arial"/>
          <w:sz w:val="21"/>
          <w:szCs w:val="21"/>
          <w:color w:val="auto"/>
          <w:vertAlign w:val="superscript"/>
        </w:rPr>
      </w:pPr>
      <w:r>
        <w:rPr>
          <w:rFonts w:ascii="Arial" w:cs="Arial" w:eastAsia="Arial" w:hAnsi="Arial"/>
          <w:sz w:val="17"/>
          <w:szCs w:val="17"/>
          <w:color w:val="auto"/>
        </w:rPr>
        <w:t>See Offering Note 1 above. In addition, the warrants covered by this registration statement may be warrants to purchase common stock, preferred stock or debt securities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14756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2" w:lineRule="exact"/>
        <w:rPr>
          <w:sz w:val="20"/>
          <w:szCs w:val="20"/>
          <w:color w:val="auto"/>
        </w:rPr>
      </w:pPr>
    </w:p>
    <w:p>
      <w:pPr>
        <w:ind w:left="220" w:right="160" w:hanging="184"/>
        <w:spacing w:after="0" w:line="229" w:lineRule="auto"/>
        <w:tabs>
          <w:tab w:leader="none" w:pos="220" w:val="left"/>
        </w:tabs>
        <w:numPr>
          <w:ilvl w:val="0"/>
          <w:numId w:val="89"/>
        </w:numPr>
        <w:rPr>
          <w:rFonts w:ascii="Arial" w:cs="Arial" w:eastAsia="Arial" w:hAnsi="Arial"/>
          <w:sz w:val="21"/>
          <w:szCs w:val="21"/>
          <w:color w:val="auto"/>
          <w:vertAlign w:val="superscript"/>
        </w:rPr>
      </w:pPr>
      <w:r>
        <w:rPr>
          <w:rFonts w:ascii="Arial" w:cs="Arial" w:eastAsia="Arial" w:hAnsi="Arial"/>
          <w:sz w:val="17"/>
          <w:szCs w:val="17"/>
          <w:color w:val="auto"/>
        </w:rPr>
        <w:t>See Offering Note 1 above. Consists of up to 3,509,719 shares of common stock being registered for resale by the selling stockholder named in the prospectus included in this registration statement. Pursuant to Rule 457(c) under the Securities Act, and solely for the purpose of calculating the registration fee, the proposed maximum offering price per share is $27.15, which is the average of the high and low prices of the Common Stock on May 29, 2026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756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r>
      <w:tr>
        <w:trPr>
          <w:trHeight w:val="196"/>
        </w:trPr>
        <w:tc>
          <w:tcPr>
            <w:tcW w:w="40" w:type="dxa"/>
            <w:vAlign w:val="bottom"/>
            <w:tcBorders>
              <w:left w:val="single" w:sz="8" w:color="auto"/>
            </w:tcBorders>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7"/>
                <w:szCs w:val="17"/>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7"/>
                <w:szCs w:val="17"/>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7"/>
                <w:szCs w:val="17"/>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7"/>
                <w:szCs w:val="17"/>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6"/>
                <w:szCs w:val="16"/>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9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0"/>
                <w:szCs w:val="20"/>
                <w:color w:val="auto"/>
              </w:rPr>
            </w:pPr>
          </w:p>
        </w:tc>
        <w:tc>
          <w:tcPr>
            <w:tcW w:w="660" w:type="dxa"/>
            <w:vAlign w:val="bottom"/>
            <w:shd w:val="clear" w:color="auto" w:fill="9ADAF6"/>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r>
    </w:tbl>
    <w:p>
      <w:pPr>
        <w:sectPr>
          <w:pgSz w:w="11900" w:h="16900" w:orient="portrait"/>
          <w:cols w:equalWidth="0" w:num="1">
            <w:col w:w="11360"/>
          </w:cols>
          <w:pgMar w:left="300" w:top="142" w:right="239" w:bottom="0"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840" w:type="dxa"/>
            <w:vAlign w:val="bottom"/>
            <w:gridSpan w:val="3"/>
            <w:shd w:val="clear" w:color="auto" w:fill="9ADAF6"/>
          </w:tcPr>
          <w:p>
            <w:pPr>
              <w:jc w:val="center"/>
              <w:ind w:left="36"/>
              <w:spacing w:after="0"/>
              <w:rPr>
                <w:sz w:val="20"/>
                <w:szCs w:val="20"/>
                <w:color w:val="auto"/>
              </w:rPr>
            </w:pPr>
            <w:r>
              <w:rPr>
                <w:rFonts w:ascii="Arial" w:cs="Arial" w:eastAsia="Arial" w:hAnsi="Arial"/>
                <w:sz w:val="17"/>
                <w:szCs w:val="17"/>
                <w:b w:val="1"/>
                <w:bCs w:val="1"/>
                <w:color w:val="auto"/>
                <w:w w:val="99"/>
              </w:rPr>
              <w:t>with 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40" w:type="dxa"/>
            <w:vAlign w:val="bottom"/>
            <w:gridSpan w:val="3"/>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7"/>
              </w:rPr>
              <w:t>Offset</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shd w:val="clear" w:color="auto" w:fill="9ADAF6"/>
          </w:tcPr>
          <w:p>
            <w:pPr>
              <w:jc w:val="center"/>
              <w:ind w:left="56"/>
              <w:spacing w:after="0"/>
              <w:rPr>
                <w:sz w:val="20"/>
                <w:szCs w:val="20"/>
                <w:color w:val="auto"/>
              </w:rPr>
            </w:pPr>
            <w:r>
              <w:rPr>
                <w:rFonts w:ascii="Arial" w:cs="Arial" w:eastAsia="Arial" w:hAnsi="Arial"/>
                <w:sz w:val="17"/>
                <w:szCs w:val="17"/>
                <w:b w:val="1"/>
                <w:bCs w:val="1"/>
                <w:color w:val="auto"/>
                <w:w w:val="99"/>
              </w:rPr>
              <w:t>Claimed</w:t>
            </w: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40" w:type="dxa"/>
            <w:vAlign w:val="bottom"/>
            <w:gridSpan w:val="12"/>
          </w:tcPr>
          <w:p>
            <w:pPr>
              <w:ind w:left="160"/>
              <w:spacing w:after="0" w:line="189" w:lineRule="exact"/>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ind w:lef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172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40" w:type="dxa"/>
            <w:vAlign w:val="bottom"/>
            <w:tcBorders>
              <w:right w:val="single" w:sz="8" w:color="auto"/>
            </w:tcBorders>
            <w:gridSpan w:val="4"/>
            <w:vMerge w:val="restart"/>
            <w:shd w:val="clear" w:color="auto" w:fill="9ADAF6"/>
          </w:tcPr>
          <w:p>
            <w:pPr>
              <w:jc w:val="center"/>
              <w:ind w:right="1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172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4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16"/>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
      <w:numFmt w:val="bullet"/>
      <w:start w:val="1"/>
    </w:lvl>
  </w:abstractNum>
  <w:abstractNum w:abstractNumId="30">
    <w:nsid w:val="741226BB"/>
    <w:multiLevelType w:val="hybridMultilevel"/>
    <w:lvl w:ilvl="0">
      <w:lvlJc w:val="left"/>
      <w:lvlText w:val="%1"/>
      <w:numFmt w:val="decimal"/>
      <w:start w:val="107"/>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decimal"/>
      <w:start w:val="1"/>
    </w:lvl>
    <w:lvl w:ilvl="1">
      <w:lvlJc w:val="left"/>
      <w:lvlText w:val="(%2)"/>
      <w:numFmt w:val="lowerRoman"/>
      <w:start w:val="1"/>
    </w:lvl>
  </w:abstractNum>
  <w:abstractNum w:abstractNumId="35">
    <w:nsid w:val="7E0C57B1"/>
    <w:multiLevelType w:val="hybridMultilevel"/>
    <w:lvl w:ilvl="0">
      <w:lvlJc w:val="left"/>
      <w:lvlText w:val="(%1)"/>
      <w:numFmt w:val="lowerRoman"/>
      <w:start w:val="3"/>
    </w:lvl>
  </w:abstractNum>
  <w:abstractNum w:abstractNumId="36">
    <w:nsid w:val="77AE35EB"/>
    <w:multiLevelType w:val="hybridMultilevel"/>
    <w:lvl w:ilvl="0">
      <w:lvlJc w:val="left"/>
      <w:lvlText w:val="(%1)"/>
      <w:numFmt w:val="decimal"/>
      <w:start w:val="2"/>
    </w:lvl>
    <w:lvl w:ilvl="1">
      <w:lvlJc w:val="left"/>
      <w:lvlText w:val="(%2)"/>
      <w:numFmt w:val="lowerRoman"/>
      <w:start w:val="1"/>
    </w:lvl>
  </w:abstractNum>
  <w:abstractNum w:abstractNumId="37">
    <w:nsid w:val="579BE4F1"/>
    <w:multiLevelType w:val="hybridMultilevel"/>
    <w:lvl w:ilvl="0">
      <w:lvlJc w:val="left"/>
      <w:lvlText w:val="(%1)"/>
      <w:numFmt w:val="decimal"/>
      <w:start w:val="8"/>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3"/>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3"/>
    </w:lvl>
  </w:abstractNum>
  <w:abstractNum w:abstractNumId="43">
    <w:nsid w:val="4AD084E9"/>
    <w:multiLevelType w:val="hybridMultilevel"/>
    <w:lvl w:ilvl="0">
      <w:lvlJc w:val="left"/>
      <w:lvlText w:val="(%1)"/>
      <w:numFmt w:val="decimal"/>
      <w:start w:val="12"/>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1)"/>
      <w:numFmt w:val="decimal"/>
      <w:start w:val="4"/>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Roman"/>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6"/>
    </w:lvl>
  </w:abstractNum>
  <w:abstractNum w:abstractNumId="54">
    <w:nsid w:val="42C296BD"/>
    <w:multiLevelType w:val="hybridMultilevel"/>
    <w:lvl w:ilvl="0">
      <w:lvlJc w:val="left"/>
      <w:lvlText w:val="(%1)"/>
      <w:numFmt w:val="upperLetter"/>
      <w:start w:val="1"/>
    </w:lvl>
    <w:lvl w:ilvl="1">
      <w:lvlJc w:val="left"/>
      <w:lvlText w:val="(%2)"/>
      <w:numFmt w:val="lowerRoman"/>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1"/>
    </w:lvl>
    <w:lvl w:ilvl="1">
      <w:lvlJc w:val="left"/>
      <w:lvlText w:val="(%2)"/>
      <w:numFmt w:val="lowerRoman"/>
      <w:start w:val="1"/>
    </w:lvl>
  </w:abstractNum>
  <w:abstractNum w:abstractNumId="57">
    <w:nsid w:val="661E3F1E"/>
    <w:multiLevelType w:val="hybridMultilevel"/>
    <w:lvl w:ilvl="0">
      <w:lvlJc w:val="left"/>
      <w:lvlText w:val="(%1)"/>
      <w:numFmt w:val="lowerLetter"/>
      <w:start w:val="3"/>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7"/>
    </w:lvl>
  </w:abstractNum>
  <w:abstractNum w:abstractNumId="60">
    <w:nsid w:val="7BD3EE7B"/>
    <w:multiLevelType w:val="hybridMultilevel"/>
    <w:lvl w:ilvl="0">
      <w:lvlJc w:val="left"/>
      <w:lvlText w:val="(%1)"/>
      <w:numFmt w:val="lowerLetter"/>
      <w:start w:val="13"/>
    </w:lvl>
  </w:abstractNum>
  <w:abstractNum w:abstractNumId="61">
    <w:nsid w:val="51D9C564"/>
    <w:multiLevelType w:val="hybridMultilevel"/>
    <w:lvl w:ilvl="0">
      <w:lvlJc w:val="left"/>
      <w:lvlText w:val="(%1)"/>
      <w:numFmt w:val="lowerLetter"/>
      <w:start w:val="1"/>
    </w:lvl>
    <w:lvl w:ilvl="1">
      <w:lvlJc w:val="left"/>
      <w:lvlText w:val="(%2)"/>
      <w:numFmt w:val="lowerRoman"/>
      <w:start w:val="1"/>
    </w:lvl>
  </w:abstractNum>
  <w:abstractNum w:abstractNumId="62">
    <w:nsid w:val="613EFDC5"/>
    <w:multiLevelType w:val="hybridMultilevel"/>
    <w:lvl w:ilvl="0">
      <w:lvlJc w:val="left"/>
      <w:lvlText w:val="(%1)"/>
      <w:numFmt w:val="lowerLetter"/>
      <w:start w:val="3"/>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4"/>
    </w:lvl>
  </w:abstractNum>
  <w:abstractNum w:abstractNumId="65">
    <w:nsid w:val="42963E5A"/>
    <w:multiLevelType w:val="hybridMultilevel"/>
    <w:lvl w:ilvl="0">
      <w:lvlJc w:val="left"/>
      <w:lvlText w:val="(%1)"/>
      <w:numFmt w:val="lowerLetter"/>
      <w:start w:val="16"/>
    </w:lvl>
  </w:abstractNum>
  <w:abstractNum w:abstractNumId="66">
    <w:nsid w:val="A0382C5"/>
    <w:multiLevelType w:val="hybridMultilevel"/>
    <w:lvl w:ilvl="0">
      <w:lvlJc w:val="left"/>
      <w:lvlText w:val="(%1)"/>
      <w:numFmt w:val="upperLetter"/>
      <w:start w:val="1"/>
    </w:lvl>
  </w:abstractNum>
  <w:abstractNum w:abstractNumId="67">
    <w:nsid w:val="8F2B15E"/>
    <w:multiLevelType w:val="hybridMultilevel"/>
    <w:lvl w:ilvl="0">
      <w:lvlJc w:val="left"/>
      <w:lvlText w:val="(%1)"/>
      <w:numFmt w:val="upperLetter"/>
      <w:start w:val="3"/>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2"/>
    </w:lvl>
  </w:abstractNum>
  <w:abstractNum w:abstractNumId="70">
    <w:nsid w:val="68EB2F63"/>
    <w:multiLevelType w:val="hybridMultilevel"/>
    <w:lvl w:ilvl="0">
      <w:lvlJc w:val="left"/>
      <w:lvlText w:val="(%1)"/>
      <w:numFmt w:val="upperLetter"/>
      <w:start w:val="1"/>
    </w:lvl>
  </w:abstractNum>
  <w:abstractNum w:abstractNumId="71">
    <w:nsid w:val="4962813B"/>
    <w:multiLevelType w:val="hybridMultilevel"/>
    <w:lvl w:ilvl="0">
      <w:lvlJc w:val="left"/>
      <w:lvlText w:val="(%1)"/>
      <w:numFmt w:val="upperLetter"/>
      <w:start w:val="2"/>
    </w:lvl>
  </w:abstractNum>
  <w:abstractNum w:abstractNumId="72">
    <w:nsid w:val="60B6DF70"/>
    <w:multiLevelType w:val="hybridMultilevel"/>
    <w:lvl w:ilvl="0">
      <w:lvlJc w:val="left"/>
      <w:lvlText w:val="(%1)"/>
      <w:numFmt w:val="lowerLetter"/>
      <w:start w:val="9"/>
    </w:lvl>
    <w:lvl w:ilvl="1">
      <w:lvlJc w:val="left"/>
      <w:lvlText w:val="(%2)"/>
      <w:numFmt w:val="lowerLetter"/>
      <w:start w:val="1"/>
    </w:lvl>
  </w:abstractNum>
  <w:abstractNum w:abstractNumId="73">
    <w:nsid w:val="6A5EE64"/>
    <w:multiLevelType w:val="hybridMultilevel"/>
    <w:lvl w:ilvl="0">
      <w:lvlJc w:val="left"/>
      <w:lvlText w:val="%1"/>
      <w:numFmt w:val="upperLetter"/>
      <w:start w:val="1"/>
    </w:lvl>
    <w:lvl w:ilvl="1">
      <w:lvlJc w:val="left"/>
      <w:lvlText w:val="(%2)"/>
      <w:numFmt w:val="lowerLetter"/>
      <w:start w:val="2"/>
    </w:lvl>
  </w:abstractNum>
  <w:abstractNum w:abstractNumId="74">
    <w:nsid w:val="14330624"/>
    <w:multiLevelType w:val="hybridMultilevel"/>
    <w:lvl w:ilvl="0">
      <w:lvlJc w:val="left"/>
      <w:lvlText w:val="(%1)"/>
      <w:numFmt w:val="upperLetter"/>
      <w:start w:val="3"/>
    </w:lvl>
    <w:lvl w:ilvl="1">
      <w:lvlJc w:val="left"/>
      <w:lvlText w:val="%2"/>
      <w:numFmt w:val="lowerLetter"/>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lowerRoman"/>
      <w:start w:val="2"/>
    </w:lvl>
  </w:abstractNum>
  <w:abstractNum w:abstractNumId="78">
    <w:nsid w:val="100F59DC"/>
    <w:multiLevelType w:val="hybridMultilevel"/>
    <w:lvl w:ilvl="0">
      <w:lvlJc w:val="left"/>
      <w:lvlText w:val="(%1)"/>
      <w:numFmt w:val="lowerLetter"/>
      <w:start w:val="2"/>
    </w:lvl>
  </w:abstractNum>
  <w:abstractNum w:abstractNumId="79">
    <w:nsid w:val="7FB7E0AA"/>
    <w:multiLevelType w:val="hybridMultilevel"/>
    <w:lvl w:ilvl="0">
      <w:lvlJc w:val="left"/>
      <w:lvlText w:val="(%1)"/>
      <w:numFmt w:val="lowerRoman"/>
      <w:start w:val="1"/>
    </w:lvl>
  </w:abstractNum>
  <w:abstractNum w:abstractNumId="80">
    <w:nsid w:val="6EB5BD4"/>
    <w:multiLevelType w:val="hybridMultilevel"/>
    <w:lvl w:ilvl="0">
      <w:lvlJc w:val="left"/>
      <w:lvlText w:val="(%1)"/>
      <w:numFmt w:val="lowerRoman"/>
      <w:start w:val="3"/>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5"/>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bullet"/>
      <w:start w:val="1"/>
    </w:lvl>
  </w:abstractNum>
  <w:abstractNum w:abstractNumId="85">
    <w:nsid w:val="4C04A8AF"/>
    <w:multiLevelType w:val="hybridMultilevel"/>
    <w:lvl w:ilvl="0">
      <w:lvlJc w:val="left"/>
      <w:lvlText w:val="2"/>
      <w:numFmt w:val="bullet"/>
      <w:start w:val="1"/>
    </w:lvl>
  </w:abstractNum>
  <w:abstractNum w:abstractNumId="86">
    <w:nsid w:val="1716703B"/>
    <w:multiLevelType w:val="hybridMultilevel"/>
    <w:lvl w:ilvl="0">
      <w:lvlJc w:val="left"/>
      <w:lvlText w:val="3"/>
      <w:numFmt w:val="bullet"/>
      <w:start w:val="1"/>
    </w:lvl>
  </w:abstractNum>
  <w:abstractNum w:abstractNumId="87">
    <w:nsid w:val="14E17E33"/>
    <w:multiLevelType w:val="hybridMultilevel"/>
    <w:lvl w:ilvl="0">
      <w:lvlJc w:val="left"/>
      <w:lvlText w:val="4"/>
      <w:numFmt w:val="bullet"/>
      <w:start w:val="1"/>
    </w:lvl>
  </w:abstractNum>
  <w:abstractNum w:abstractNumId="88">
    <w:nsid w:val="3222E7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jpeg"/><Relationship Id="rId142" Type="http://schemas.openxmlformats.org/officeDocument/2006/relationships/image" Target="media/image124.jpeg"/><Relationship Id="rId143" Type="http://schemas.openxmlformats.org/officeDocument/2006/relationships/image" Target="media/image125.jpeg"/><Relationship Id="rId144" Type="http://schemas.openxmlformats.org/officeDocument/2006/relationships/image" Target="media/image126.png"/><Relationship Id="rId145" Type="http://schemas.openxmlformats.org/officeDocument/2006/relationships/image" Target="media/image127.jpeg"/><Relationship Id="rId146" Type="http://schemas.openxmlformats.org/officeDocument/2006/relationships/image" Target="media/image128.jpeg"/><Relationship Id="rId147" Type="http://schemas.openxmlformats.org/officeDocument/2006/relationships/image" Target="media/image129.png"/><Relationship Id="rId148" Type="http://schemas.openxmlformats.org/officeDocument/2006/relationships/image" Target="media/image130.jpeg"/><Relationship Id="rId149" Type="http://schemas.openxmlformats.org/officeDocument/2006/relationships/image" Target="media/image131.jpe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54" Type="http://schemas.openxmlformats.org/officeDocument/2006/relationships/hyperlink" Target="http://www.sec.gov/ix?doc=/Archives/edgar/data/0001789029/000119312526116518/aeva-20251231.htm" TargetMode="External"/><Relationship Id="rId55" Type="http://schemas.openxmlformats.org/officeDocument/2006/relationships/hyperlink" Target="http://www.sec.gov/ix?doc=/Archives/edgar/data/0001789029/000114036126017859/aeva-20260618.htm" TargetMode="External"/><Relationship Id="rId57" Type="http://schemas.openxmlformats.org/officeDocument/2006/relationships/hyperlink" Target="http://www.sec.gov/ix?doc=/Archives/edgar/data/1789029/000119312526212597/aeva-20260331.htm" TargetMode="External"/><Relationship Id="rId58" Type="http://schemas.openxmlformats.org/officeDocument/2006/relationships/hyperlink" Target="http://www.sec.gov/ix?doc=/Archives/edgar/data/0001789029/000119312526251690/d130280d8k.htm" TargetMode="External"/><Relationship Id="rId59" Type="http://schemas.openxmlformats.org/officeDocument/2006/relationships/hyperlink" Target="http://www.sec.gov/Archives/edgar/data/1789029/000095017025042849/aeva-ex4_4.htm" TargetMode="External"/><Relationship Id="rId60" Type="http://schemas.openxmlformats.org/officeDocument/2006/relationships/hyperlink" Target="http://www.sec.gov/ix?doc=/Archives/edgar/data/0001789029/000095017025042849/aeva-20241231.htm" TargetMode="External"/><Relationship Id="rId64" Type="http://schemas.openxmlformats.org/officeDocument/2006/relationships/hyperlink" Target="http://www.sec.gov/Archives/edgar/data/0001789029/000121390020040791/fs42020_interprivateacq.htm#T41" TargetMode="External"/><Relationship Id="rId65" Type="http://schemas.openxmlformats.org/officeDocument/2006/relationships/hyperlink" Target="http://www.sec.gov/Archives/edgar/data/1789029/000119312521085979/d142612dex31.htm" TargetMode="External"/><Relationship Id="rId66" Type="http://schemas.openxmlformats.org/officeDocument/2006/relationships/hyperlink" Target="http://www.sec.gov/Archives/edgar/data/1789029/000119312524070371/d797793dex31.htm" TargetMode="External"/><Relationship Id="rId67" Type="http://schemas.openxmlformats.org/officeDocument/2006/relationships/hyperlink" Target="http://www.sec.gov/Archives/edgar/data/1789029/000119312521085979/d142612dex32.htm" TargetMode="External"/><Relationship Id="rId68" Type="http://schemas.openxmlformats.org/officeDocument/2006/relationships/hyperlink" Target="http://www.sec.gov/Archives/edgar/data/1789029/000121390020001698/fs12020a1ex4-2_interpri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2026-06-03T16:15:20Z</dcterms:created>
  <dcterms:modified xsi:type="dcterms:W3CDTF">2026-06-03T16:15:20Z</dcterms:modified>
</cp:coreProperties>
</file>