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Aeva Technologies,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001-39204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84-3080757</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555 Ellis Street</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Mountain View, California 94043</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481-7070</w:t>
      </w:r>
    </w:p>
    <w:p>
      <w:pPr>
        <w:jc w:val="center"/>
        <w:ind w:right="16"/>
        <w:spacing w:after="0" w:line="224" w:lineRule="auto"/>
        <w:rPr>
          <w:sz w:val="20"/>
          <w:szCs w:val="20"/>
          <w:color w:val="auto"/>
        </w:rPr>
      </w:pPr>
      <w:r>
        <w:rPr>
          <w:rFonts w:ascii="Times New Roman" w:cs="Times New Roman" w:eastAsia="Times New Roman" w:hAnsi="Times New Roman"/>
          <w:sz w:val="14"/>
          <w:szCs w:val="14"/>
          <w:b w:val="1"/>
          <w:bCs w:val="1"/>
          <w:color w:val="auto"/>
        </w:rPr>
        <w:t>(Address, including zip code, and telephone number,</w:t>
      </w: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AEVA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right="400" w:hanging="4"/>
        <w:spacing w:after="0" w:line="282"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On June 18, 2026, Aeva Technologies, Inc. (the “Company”) held its 2026 Annual Meeting of Stockholders. At the meeting, the Company’s stockholders voted on the following proposals:</w:t>
      </w:r>
    </w:p>
    <w:p>
      <w:pPr>
        <w:spacing w:after="0" w:line="67"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Class II directors named in the Company’s definitive proxy statement on Schedule 14A filed with the United States Securities and Exchange Commission on April 29, 2026 (the “Proxy Statement”) to hold office until the 2029 annual meeting of stockholders and until their respective successors have been duly elected and qualified;</w:t>
      </w:r>
    </w:p>
    <w:p>
      <w:pPr>
        <w:spacing w:after="0" w:line="81" w:lineRule="exact"/>
        <w:rPr>
          <w:rFonts w:ascii="Times New Roman" w:cs="Times New Roman" w:eastAsia="Times New Roman" w:hAnsi="Times New Roman"/>
          <w:sz w:val="18"/>
          <w:szCs w:val="18"/>
          <w:color w:val="auto"/>
        </w:rPr>
      </w:pPr>
    </w:p>
    <w:p>
      <w:pPr>
        <w:ind w:left="964" w:right="440" w:hanging="532"/>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Deloitte &amp; Touche LLP as the Company’s independent registered public accounting firm for the fiscal year ending December 31, 2026; and</w:t>
      </w:r>
    </w:p>
    <w:p>
      <w:pPr>
        <w:spacing w:after="0" w:line="16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For more information about the foregoing proposals, see the Proxy Statement. The number of votes cast for, against or withheld, as well as abstentions and broker non-votes, if applicable, in respect of each such proposal is set forth below:</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Proposal 1 - Election of the Class II nominees named in the Proxy Statement to the Company’s Board of Directors:</w:t>
      </w:r>
    </w:p>
    <w:p>
      <w:pPr>
        <w:spacing w:after="0" w:line="248"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NOMINEE</w:t>
            </w:r>
          </w:p>
        </w:tc>
        <w:tc>
          <w:tcPr>
            <w:tcW w:w="860" w:type="dxa"/>
            <w:vAlign w:val="bottom"/>
          </w:tcPr>
          <w:p>
            <w:pPr>
              <w:jc w:val="right"/>
              <w:ind w:right="216"/>
              <w:spacing w:after="0"/>
              <w:rPr>
                <w:sz w:val="20"/>
                <w:szCs w:val="20"/>
                <w:color w:val="auto"/>
              </w:rPr>
            </w:pPr>
            <w:r>
              <w:rPr>
                <w:rFonts w:ascii="Times New Roman" w:cs="Times New Roman" w:eastAsia="Times New Roman" w:hAnsi="Times New Roman"/>
                <w:sz w:val="14"/>
                <w:szCs w:val="14"/>
                <w:color w:val="auto"/>
              </w:rPr>
              <w:t>FOR</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WITHHOLD</w:t>
            </w: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BROKER NON-VOTE</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Hrach Simonian</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26,077,634</w:t>
            </w:r>
          </w:p>
        </w:tc>
        <w:tc>
          <w:tcPr>
            <w:tcW w:w="4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3,523,150</w:t>
            </w:r>
          </w:p>
        </w:tc>
        <w:tc>
          <w:tcPr>
            <w:tcW w:w="4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14,098,492</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Stephen Zadesky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27,213,735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2,387,049</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14,098,492</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Proposal 2 - Ratification of Deloitte &amp; Touche LLP as the Company’s independent registered public accounting firm for the year ending December 31, 2026:</w:t>
      </w:r>
    </w:p>
    <w:p>
      <w:pPr>
        <w:spacing w:after="0" w:line="18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29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FOR</w:t>
            </w:r>
          </w:p>
        </w:tc>
        <w:tc>
          <w:tcPr>
            <w:tcW w:w="382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color w:val="auto"/>
              </w:rPr>
              <w:t>AGAINST</w:t>
            </w:r>
          </w:p>
        </w:tc>
        <w:tc>
          <w:tcPr>
            <w:tcW w:w="164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color w:val="auto"/>
              </w:rPr>
              <w:t>ABSTAIN</w:t>
            </w:r>
          </w:p>
        </w:tc>
      </w:tr>
      <w:tr>
        <w:trPr>
          <w:trHeight w:val="20"/>
        </w:trPr>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290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43,599,661</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63,879</w:t>
            </w:r>
          </w:p>
        </w:tc>
        <w:tc>
          <w:tcPr>
            <w:tcW w:w="2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35,736</w:t>
            </w:r>
          </w:p>
        </w:tc>
        <w:tc>
          <w:tcPr>
            <w:tcW w:w="1020" w:type="dxa"/>
            <w:vAlign w:val="bottom"/>
            <w:shd w:val="clear" w:color="auto" w:fill="CCEEFF"/>
          </w:tcPr>
          <w:p>
            <w:pPr>
              <w:spacing w:after="0"/>
              <w:rPr>
                <w:sz w:val="18"/>
                <w:szCs w:val="18"/>
                <w:color w:val="auto"/>
              </w:rPr>
            </w:pPr>
          </w:p>
        </w:tc>
      </w:tr>
    </w:tbl>
    <w:p>
      <w:pPr>
        <w:sectPr>
          <w:pgSz w:w="11900" w:h="16838" w:orient="portrait"/>
          <w:cols w:equalWidth="0" w:num="1">
            <w:col w:w="11004"/>
          </w:cols>
          <w:pgMar w:left="436"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Aeva Technologies,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Saurabh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Saurabh Sinha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2026-06-25T05:08:00Z</dcterms:created>
  <dcterms:modified xsi:type="dcterms:W3CDTF">2026-06-25T05:08:00Z</dcterms:modified>
</cp:coreProperties>
</file>