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No. 333-296469</w:t>
      </w:r>
    </w:p>
    <w:p>
      <w:pPr>
        <w:spacing w:after="0" w:line="10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June 3, 2026)</w:t>
      </w:r>
    </w:p>
    <w:p>
      <w:pPr>
        <w:spacing w:after="0" w:line="13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4,494,382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3162935</wp:posOffset>
            </wp:positionH>
            <wp:positionV relativeFrom="paragraph">
              <wp:posOffset>142240</wp:posOffset>
            </wp:positionV>
            <wp:extent cx="842010" cy="1149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2010" cy="1149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195580</wp:posOffset>
            </wp:positionV>
            <wp:extent cx="11493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Aeva Technologies, Inc. is offering 4,494,382 shares of its common stock.</w:t>
      </w:r>
    </w:p>
    <w:p>
      <w:pPr>
        <w:spacing w:after="0" w:line="176" w:lineRule="exact"/>
        <w:rPr>
          <w:sz w:val="24"/>
          <w:szCs w:val="24"/>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and trades on the Nasdaq Global Select Market under the symbol “AEVA.” On June 3, 2026, the last reported sale price of our common stock on the Nasdaq Global Select Market was $25.31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155575</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80" w:lineRule="exact"/>
        <w:rPr>
          <w:sz w:val="24"/>
          <w:szCs w:val="24"/>
          <w:color w:val="auto"/>
        </w:rPr>
      </w:pPr>
    </w:p>
    <w:p>
      <w:pPr>
        <w:ind w:left="1360" w:right="439" w:firstLine="343"/>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described in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section beginning on page S-6 of this prospectus supplement, as well as in the accompanying prospectus and the documents incorporated by reference into this prospectus supplement and the accompanying prospectus.</w:t>
      </w:r>
    </w:p>
    <w:p>
      <w:pPr>
        <w:spacing w:after="0" w:line="139" w:lineRule="exact"/>
        <w:rPr>
          <w:sz w:val="24"/>
          <w:szCs w:val="24"/>
          <w:color w:val="auto"/>
        </w:rPr>
      </w:pPr>
    </w:p>
    <w:p>
      <w:pPr>
        <w:ind w:left="1360" w:right="3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162560</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238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22.25</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100,000,000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1.1125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Aeva Technologies,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95,000,000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73660</wp:posOffset>
            </wp:positionV>
            <wp:extent cx="6013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4"/>
          <w:szCs w:val="24"/>
          <w:color w:val="auto"/>
        </w:rPr>
      </w:pPr>
    </w:p>
    <w:p>
      <w:pPr>
        <w:ind w:left="1680" w:hanging="329"/>
        <w:spacing w:after="0"/>
        <w:tabs>
          <w:tab w:leader="none" w:pos="16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 description of the compensation payable to the underwriters.</w:t>
      </w:r>
    </w:p>
    <w:p>
      <w:pPr>
        <w:spacing w:after="0" w:line="176" w:lineRule="exact"/>
        <w:rPr>
          <w:sz w:val="24"/>
          <w:szCs w:val="24"/>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We intend to grant the underwriters an option for a period of 30 days to purchase up to 674,157 additional shares of our common stock at the public offering price less the underwriting discounts and commissions.</w:t>
      </w:r>
    </w:p>
    <w:p>
      <w:pPr>
        <w:spacing w:after="0" w:line="12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underwriters expect to deliver the shares against payment in New York, New York on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194310</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193" w:lineRule="exact"/>
        <w:rPr>
          <w:sz w:val="24"/>
          <w:szCs w:val="24"/>
          <w:color w:val="auto"/>
        </w:rPr>
      </w:pPr>
    </w:p>
    <w:p>
      <w:pPr>
        <w:jc w:val="right"/>
        <w:ind w:right="219"/>
        <w:spacing w:after="0"/>
        <w:tabs>
          <w:tab w:leader="none" w:pos="5140" w:val="left"/>
          <w:tab w:leader="none" w:pos="1320" w:val="left"/>
        </w:tabs>
        <w:rPr>
          <w:sz w:val="20"/>
          <w:szCs w:val="20"/>
          <w:color w:val="auto"/>
        </w:rPr>
      </w:pPr>
      <w:r>
        <w:rPr>
          <w:rFonts w:ascii="Times New Roman" w:cs="Times New Roman" w:eastAsia="Times New Roman" w:hAnsi="Times New Roman"/>
          <w:sz w:val="15"/>
          <w:szCs w:val="15"/>
          <w:b w:val="1"/>
          <w:bCs w:val="1"/>
          <w:color w:val="auto"/>
        </w:rPr>
        <w:t>Morgan Stanley</w:t>
      </w:r>
      <w:r>
        <w:rPr>
          <w:sz w:val="20"/>
          <w:szCs w:val="20"/>
          <w:color w:val="auto"/>
        </w:rPr>
        <w:tab/>
      </w:r>
      <w:r>
        <w:rPr>
          <w:rFonts w:ascii="Times New Roman" w:cs="Times New Roman" w:eastAsia="Times New Roman" w:hAnsi="Times New Roman"/>
          <w:sz w:val="15"/>
          <w:szCs w:val="15"/>
          <w:b w:val="1"/>
          <w:bCs w:val="1"/>
          <w:color w:val="auto"/>
        </w:rPr>
        <w:t>Goldman Sachs &amp; Co. LLC</w:t>
      </w:r>
      <w:r>
        <w:rPr>
          <w:sz w:val="20"/>
          <w:szCs w:val="20"/>
          <w:color w:val="auto"/>
        </w:rPr>
        <w:tab/>
      </w:r>
      <w:r>
        <w:rPr>
          <w:rFonts w:ascii="Times New Roman" w:cs="Times New Roman" w:eastAsia="Times New Roman" w:hAnsi="Times New Roman"/>
          <w:sz w:val="15"/>
          <w:szCs w:val="15"/>
          <w:b w:val="1"/>
          <w:bCs w:val="1"/>
          <w:color w:val="auto"/>
        </w:rPr>
        <w:t>Oppenheimer &amp; Co.</w:t>
      </w:r>
    </w:p>
    <w:p>
      <w:pPr>
        <w:spacing w:after="0" w:line="17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Prospectus Supplement dated June 3,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0" w:type="dxa"/>
            <w:vAlign w:val="bottom"/>
            <w:gridSpan w:val="3"/>
          </w:tcPr>
          <w:p>
            <w:pPr>
              <w:jc w:val="center"/>
              <w:ind w:right="266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0" w:type="dxa"/>
            <w:vAlign w:val="bottom"/>
            <w:gridSpan w:val="3"/>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822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1"/>
              </w:rPr>
              <w:t>PAGE</w:t>
            </w:r>
          </w:p>
        </w:tc>
        <w:tc>
          <w:tcPr>
            <w:tcW w:w="0" w:type="dxa"/>
            <w:vAlign w:val="bottom"/>
          </w:tcPr>
          <w:p>
            <w:pPr>
              <w:spacing w:after="0"/>
              <w:rPr>
                <w:sz w:val="1"/>
                <w:szCs w:val="1"/>
                <w:color w:val="auto"/>
              </w:rPr>
            </w:pPr>
          </w:p>
        </w:tc>
      </w:tr>
      <w:tr>
        <w:trPr>
          <w:trHeight w:val="117"/>
        </w:trPr>
        <w:tc>
          <w:tcPr>
            <w:tcW w:w="8220" w:type="dxa"/>
            <w:vAlign w:val="bottom"/>
            <w:gridSpan w:val="30"/>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560" w:type="dxa"/>
            <w:vAlign w:val="bottom"/>
            <w:tcBorders>
              <w:top w:val="single" w:sz="8" w:color="0000EE"/>
              <w:bottom w:val="single" w:sz="8" w:color="0000EE"/>
            </w:tcBorders>
            <w:gridSpan w:val="24"/>
          </w:tcPr>
          <w:p>
            <w:pPr>
              <w:spacing w:after="0" w:line="159"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100" w:type="dxa"/>
            <w:vAlign w:val="bottom"/>
            <w:tcBorders>
              <w:top w:val="single" w:sz="8" w:color="0000EE"/>
            </w:tcBorders>
          </w:tcPr>
          <w:p>
            <w:pPr>
              <w:spacing w:after="0"/>
              <w:rPr>
                <w:sz w:val="13"/>
                <w:szCs w:val="13"/>
                <w:color w:val="auto"/>
              </w:rPr>
            </w:pPr>
          </w:p>
        </w:tc>
        <w:tc>
          <w:tcPr>
            <w:tcW w:w="556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THE OFFERING</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8"/>
        </w:trPr>
        <w:tc>
          <w:tcPr>
            <w:tcW w:w="980" w:type="dxa"/>
            <w:vAlign w:val="bottom"/>
            <w:tcBorders>
              <w:top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7"/>
              </w:rPr>
              <w:t>RISK FACTORS</w:t>
            </w:r>
          </w:p>
        </w:tc>
        <w:tc>
          <w:tcPr>
            <w:tcW w:w="7240" w:type="dxa"/>
            <w:vAlign w:val="bottom"/>
            <w:gridSpan w:val="24"/>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S-8</w:t>
            </w:r>
          </w:p>
        </w:tc>
        <w:tc>
          <w:tcPr>
            <w:tcW w:w="0" w:type="dxa"/>
            <w:vAlign w:val="bottom"/>
          </w:tcPr>
          <w:p>
            <w:pPr>
              <w:spacing w:after="0"/>
              <w:rPr>
                <w:sz w:val="1"/>
                <w:szCs w:val="1"/>
                <w:color w:val="auto"/>
              </w:rPr>
            </w:pPr>
          </w:p>
        </w:tc>
      </w:tr>
      <w:tr>
        <w:trPr>
          <w:trHeight w:val="148"/>
        </w:trPr>
        <w:tc>
          <w:tcPr>
            <w:tcW w:w="1240" w:type="dxa"/>
            <w:vAlign w:val="bottom"/>
            <w:tcBorders>
              <w:top w:val="single" w:sz="8" w:color="0000EE"/>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2900" w:type="dxa"/>
            <w:vAlign w:val="bottom"/>
            <w:tcBorders>
              <w:top w:val="single" w:sz="8" w:color="0000EE"/>
            </w:tcBorders>
            <w:gridSpan w:val="15"/>
          </w:tcPr>
          <w:p>
            <w:pPr>
              <w:spacing w:after="0"/>
              <w:rPr>
                <w:sz w:val="12"/>
                <w:szCs w:val="12"/>
                <w:color w:val="auto"/>
              </w:rPr>
            </w:pPr>
          </w:p>
        </w:tc>
        <w:tc>
          <w:tcPr>
            <w:tcW w:w="4080" w:type="dxa"/>
            <w:vAlign w:val="bottom"/>
            <w:gridSpan w:val="2"/>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8"/>
        </w:trPr>
        <w:tc>
          <w:tcPr>
            <w:tcW w:w="122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7"/>
              </w:rPr>
              <w:t>DIVIDEND POLICY</w:t>
            </w:r>
          </w:p>
        </w:tc>
        <w:tc>
          <w:tcPr>
            <w:tcW w:w="7000" w:type="dxa"/>
            <w:vAlign w:val="bottom"/>
            <w:gridSpan w:val="18"/>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8"/>
              </w:rPr>
              <w:t>CAPITALIZATION</w:t>
            </w:r>
          </w:p>
        </w:tc>
        <w:tc>
          <w:tcPr>
            <w:tcW w:w="7060" w:type="dxa"/>
            <w:vAlign w:val="bottom"/>
            <w:gridSpan w:val="19"/>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DILUTION</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040" w:type="dxa"/>
            <w:vAlign w:val="bottom"/>
            <w:tcBorders>
              <w:bottom w:val="single" w:sz="8" w:color="0000EE"/>
            </w:tcBorders>
            <w:gridSpan w:val="29"/>
          </w:tcPr>
          <w:p>
            <w:pPr>
              <w:spacing w:after="0" w:line="149" w:lineRule="exact"/>
              <w:rPr>
                <w:sz w:val="20"/>
                <w:szCs w:val="20"/>
                <w:color w:val="auto"/>
              </w:rPr>
            </w:pPr>
            <w:r>
              <w:rPr>
                <w:rFonts w:ascii="Times New Roman" w:cs="Times New Roman" w:eastAsia="Times New Roman" w:hAnsi="Times New Roman"/>
                <w:sz w:val="14"/>
                <w:szCs w:val="14"/>
                <w:color w:val="0000EE"/>
                <w:w w:val="99"/>
              </w:rPr>
              <w:t>MATERIAL U.S. FEDERAL INCOME TAX CONSEQUENCES FOR NON-U.S. HOLDERS OF OUR COMMON STOCK</w:t>
            </w:r>
          </w:p>
        </w:tc>
        <w:tc>
          <w:tcPr>
            <w:tcW w:w="118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S-16</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7"/>
              </w:rPr>
              <w:t>UNDERWRITING</w:t>
            </w:r>
          </w:p>
        </w:tc>
        <w:tc>
          <w:tcPr>
            <w:tcW w:w="7140" w:type="dxa"/>
            <w:vAlign w:val="bottom"/>
            <w:gridSpan w:val="23"/>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S-20</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7080" w:type="dxa"/>
            <w:vAlign w:val="bottom"/>
            <w:gridSpan w:val="20"/>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48"/>
        </w:trPr>
        <w:tc>
          <w:tcPr>
            <w:tcW w:w="6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7560" w:type="dxa"/>
            <w:vAlign w:val="bottom"/>
            <w:gridSpan w:val="28"/>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S-29</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S-30</w:t>
            </w:r>
          </w:p>
        </w:tc>
        <w:tc>
          <w:tcPr>
            <w:tcW w:w="0" w:type="dxa"/>
            <w:vAlign w:val="bottom"/>
          </w:tcPr>
          <w:p>
            <w:pPr>
              <w:spacing w:after="0"/>
              <w:rPr>
                <w:sz w:val="1"/>
                <w:szCs w:val="1"/>
                <w:color w:val="auto"/>
              </w:rPr>
            </w:pPr>
          </w:p>
        </w:tc>
      </w:tr>
      <w:tr>
        <w:trPr>
          <w:trHeight w:val="148"/>
        </w:trPr>
        <w:tc>
          <w:tcPr>
            <w:tcW w:w="2960" w:type="dxa"/>
            <w:vAlign w:val="bottom"/>
            <w:tcBorders>
              <w:top w:val="single" w:sz="8" w:color="0000EE"/>
            </w:tcBorders>
            <w:gridSpan w:val="26"/>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5260" w:type="dxa"/>
            <w:vAlign w:val="bottom"/>
            <w:gridSpan w:val="4"/>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S-31</w:t>
            </w:r>
          </w:p>
        </w:tc>
        <w:tc>
          <w:tcPr>
            <w:tcW w:w="0" w:type="dxa"/>
            <w:vAlign w:val="bottom"/>
          </w:tcPr>
          <w:p>
            <w:pPr>
              <w:spacing w:after="0"/>
              <w:rPr>
                <w:sz w:val="1"/>
                <w:szCs w:val="1"/>
                <w:color w:val="auto"/>
              </w:rPr>
            </w:pPr>
          </w:p>
        </w:tc>
      </w:tr>
      <w:tr>
        <w:trPr>
          <w:trHeight w:val="348"/>
        </w:trPr>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0" w:type="dxa"/>
            <w:vAlign w:val="bottom"/>
            <w:gridSpan w:val="3"/>
          </w:tcPr>
          <w:p>
            <w:pPr>
              <w:jc w:val="center"/>
              <w:ind w:right="26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020" w:type="dxa"/>
            <w:vAlign w:val="bottom"/>
            <w:gridSpan w:val="27"/>
            <w:vMerge w:val="restart"/>
          </w:tcPr>
          <w:p>
            <w:pPr>
              <w:spacing w:after="0"/>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5200" w:type="dxa"/>
            <w:vAlign w:val="bottom"/>
            <w:gridSpan w:val="3"/>
            <w:vMerge w:val="restart"/>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2"/>
        </w:trPr>
        <w:tc>
          <w:tcPr>
            <w:tcW w:w="3020" w:type="dxa"/>
            <w:vAlign w:val="bottom"/>
            <w:tcBorders>
              <w:bottom w:val="single" w:sz="8" w:color="0000EE"/>
            </w:tcBorders>
            <w:gridSpan w:val="27"/>
            <w:vMerge w:val="continue"/>
          </w:tcPr>
          <w:p>
            <w:pPr>
              <w:spacing w:after="0"/>
              <w:rPr>
                <w:sz w:val="11"/>
                <w:szCs w:val="11"/>
                <w:color w:val="auto"/>
              </w:rPr>
            </w:pPr>
          </w:p>
        </w:tc>
        <w:tc>
          <w:tcPr>
            <w:tcW w:w="5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About This Prospectus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w w:val="97"/>
              </w:rPr>
              <w:t>Aeva Technologies, Inc.</w:t>
            </w:r>
          </w:p>
        </w:tc>
        <w:tc>
          <w:tcPr>
            <w:tcW w:w="6860" w:type="dxa"/>
            <w:vAlign w:val="bottom"/>
            <w:gridSpan w:val="14"/>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7520" w:type="dxa"/>
            <w:vAlign w:val="bottom"/>
            <w:gridSpan w:val="27"/>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00" w:type="dxa"/>
            <w:vAlign w:val="bottom"/>
            <w:tcBorders>
              <w:bottom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w w:val="99"/>
              </w:rPr>
              <w:t>Additional Selling Stockholders</w:t>
            </w:r>
          </w:p>
        </w:tc>
        <w:tc>
          <w:tcPr>
            <w:tcW w:w="6420" w:type="dxa"/>
            <w:vAlign w:val="bottom"/>
            <w:gridSpan w:val="9"/>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8"/>
              </w:rPr>
              <w:t>Plan of Distribution</w:t>
            </w:r>
          </w:p>
        </w:tc>
        <w:tc>
          <w:tcPr>
            <w:tcW w:w="7100" w:type="dxa"/>
            <w:vAlign w:val="bottom"/>
            <w:gridSpan w:val="21"/>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6620" w:type="dxa"/>
            <w:vAlign w:val="bottom"/>
            <w:gridSpan w:val="11"/>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6520" w:type="dxa"/>
            <w:vAlign w:val="bottom"/>
            <w:gridSpan w:val="10"/>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6880" w:type="dxa"/>
            <w:vAlign w:val="bottom"/>
            <w:gridSpan w:val="15"/>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Selling Stockholder</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4"/>
          </w:tcPr>
          <w:p>
            <w:pPr>
              <w:spacing w:after="0"/>
              <w:rPr>
                <w:sz w:val="12"/>
                <w:szCs w:val="12"/>
                <w:color w:val="auto"/>
              </w:rPr>
            </w:pPr>
          </w:p>
        </w:tc>
        <w:tc>
          <w:tcPr>
            <w:tcW w:w="7120" w:type="dxa"/>
            <w:vAlign w:val="bottom"/>
            <w:gridSpan w:val="22"/>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42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3"/>
              </w:rPr>
              <w:t>Experts</w:t>
            </w:r>
          </w:p>
        </w:tc>
        <w:tc>
          <w:tcPr>
            <w:tcW w:w="7800" w:type="dxa"/>
            <w:vAlign w:val="bottom"/>
            <w:gridSpan w:val="29"/>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8220" w:type="dxa"/>
            <w:vAlign w:val="bottom"/>
            <w:gridSpan w:val="30"/>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5"/>
          </w:tcPr>
          <w:p>
            <w:pPr>
              <w:spacing w:after="0"/>
              <w:rPr>
                <w:sz w:val="12"/>
                <w:szCs w:val="12"/>
                <w:color w:val="auto"/>
              </w:rPr>
            </w:pPr>
          </w:p>
        </w:tc>
        <w:tc>
          <w:tcPr>
            <w:tcW w:w="6000" w:type="dxa"/>
            <w:vAlign w:val="bottom"/>
            <w:gridSpan w:val="7"/>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8"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w:t>
      </w:r>
    </w:p>
    <w:p>
      <w:pPr>
        <w:spacing w:after="0" w:line="141" w:lineRule="exact"/>
        <w:rPr>
          <w:sz w:val="20"/>
          <w:szCs w:val="20"/>
          <w:color w:val="auto"/>
        </w:rPr>
      </w:pPr>
    </w:p>
    <w:p>
      <w:pPr>
        <w:ind w:left="1360" w:right="319" w:firstLine="343"/>
        <w:spacing w:after="0" w:line="277" w:lineRule="auto"/>
        <w:rPr>
          <w:sz w:val="20"/>
          <w:szCs w:val="20"/>
          <w:color w:val="auto"/>
        </w:rPr>
      </w:pPr>
      <w:r>
        <w:rPr>
          <w:rFonts w:ascii="Times New Roman" w:cs="Times New Roman" w:eastAsia="Times New Roman" w:hAnsi="Times New Roman"/>
          <w:sz w:val="13"/>
          <w:szCs w:val="13"/>
          <w:color w:val="auto"/>
        </w:rPr>
        <w:t>In this prospectus supplement and the accompanying prospectus,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w:t>
      </w:r>
    </w:p>
    <w:p>
      <w:pPr>
        <w:spacing w:after="0" w:line="13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4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w:t>
      </w:r>
    </w:p>
    <w:p>
      <w:pPr>
        <w:spacing w:after="0" w:line="144"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As used in this prospectus supplement, unless the context otherwise requires, references to “Aeva,” “company,” “we,” “us” and “our” refer to Aeva Technologies, Inc.</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136"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All trademarks, service marks and trade names appearing in this prospectus supplement are the property of their respective holders. Use or display by us of other parties’ trademarks, trade dress, or products in this prospectus supplement is not intended to, and does not, imply a relationship with, or endorsements or sponsorship of, us by the trademark or trade dress owners.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83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7825" cy="4783455"/>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6" w:lineRule="exact"/>
        <w:rPr>
          <w:sz w:val="20"/>
          <w:szCs w:val="20"/>
          <w:color w:val="auto"/>
        </w:rPr>
      </w:pPr>
    </w:p>
    <w:p>
      <w:pPr>
        <w:ind w:left="1500" w:right="439" w:firstLine="332"/>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w:t>
      </w:r>
    </w:p>
    <w:p>
      <w:pPr>
        <w:spacing w:after="0" w:line="136" w:lineRule="exact"/>
        <w:rPr>
          <w:sz w:val="20"/>
          <w:szCs w:val="20"/>
          <w:color w:val="auto"/>
        </w:rPr>
      </w:pPr>
    </w:p>
    <w:p>
      <w:pPr>
        <w:ind w:left="1500" w:right="399" w:firstLine="332"/>
        <w:spacing w:after="0" w:line="259" w:lineRule="auto"/>
        <w:rPr>
          <w:sz w:val="20"/>
          <w:szCs w:val="20"/>
          <w:color w:val="auto"/>
        </w:rPr>
      </w:pPr>
      <w:r>
        <w:rPr>
          <w:rFonts w:ascii="Times New Roman" w:cs="Times New Roman" w:eastAsia="Times New Roman" w:hAnsi="Times New Roman"/>
          <w:sz w:val="14"/>
          <w:szCs w:val="14"/>
          <w:color w:val="auto"/>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w:t>
      </w:r>
    </w:p>
    <w:p>
      <w:pPr>
        <w:spacing w:after="0" w:line="141" w:lineRule="exact"/>
        <w:rPr>
          <w:sz w:val="20"/>
          <w:szCs w:val="20"/>
          <w:color w:val="auto"/>
        </w:rPr>
      </w:pPr>
    </w:p>
    <w:p>
      <w:pPr>
        <w:ind w:left="1500" w:right="399" w:firstLine="332"/>
        <w:spacing w:after="0" w:line="259" w:lineRule="auto"/>
        <w:rPr>
          <w:sz w:val="20"/>
          <w:szCs w:val="20"/>
          <w:color w:val="auto"/>
        </w:rPr>
      </w:pPr>
      <w:r>
        <w:rPr>
          <w:rFonts w:ascii="Times New Roman" w:cs="Times New Roman" w:eastAsia="Times New Roman" w:hAnsi="Times New Roman"/>
          <w:sz w:val="14"/>
          <w:szCs w:val="14"/>
          <w:color w:val="auto"/>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vehicles to see at significantly higher distances of up to 500 meters.</w:t>
      </w:r>
    </w:p>
    <w:p>
      <w:pPr>
        <w:spacing w:after="0" w:line="141" w:lineRule="exact"/>
        <w:rPr>
          <w:sz w:val="20"/>
          <w:szCs w:val="20"/>
          <w:color w:val="auto"/>
        </w:rPr>
      </w:pPr>
    </w:p>
    <w:p>
      <w:pPr>
        <w:ind w:left="1500" w:right="599" w:firstLine="332"/>
        <w:spacing w:after="0" w:line="267" w:lineRule="auto"/>
        <w:rPr>
          <w:sz w:val="20"/>
          <w:szCs w:val="20"/>
          <w:color w:val="auto"/>
        </w:rPr>
      </w:pPr>
      <w:r>
        <w:rPr>
          <w:rFonts w:ascii="Times New Roman" w:cs="Times New Roman" w:eastAsia="Times New Roman" w:hAnsi="Times New Roman"/>
          <w:sz w:val="14"/>
          <w:szCs w:val="14"/>
          <w:color w:val="auto"/>
        </w:rPr>
        <w:t>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500" w:right="559" w:firstLine="332"/>
        <w:spacing w:after="0" w:line="261" w:lineRule="auto"/>
        <w:rPr>
          <w:sz w:val="20"/>
          <w:szCs w:val="20"/>
          <w:color w:val="auto"/>
        </w:rPr>
      </w:pPr>
      <w:r>
        <w:rPr>
          <w:rFonts w:ascii="Times New Roman" w:cs="Times New Roman" w:eastAsia="Times New Roman" w:hAnsi="Times New Roman"/>
          <w:sz w:val="14"/>
          <w:szCs w:val="14"/>
          <w:color w:val="auto"/>
        </w:rPr>
        <w:t>Aeva Technologies, Inc. was originally incorporated in Delaware as a special purpose acquisition company on August 16, 2019 under the name InterPrivate Acquisition Corp. (“IPV”). On March 12, 2021, the Company consummated a business combination (the “Business Combination”) with Aeva, Inc. In connection with the consummation of the Business Combination, the Company changed its name from IPV to Aeva Technologies, Inc. The Company’s common stock is listed on the Nasdaq Global Select Market under the symbol “AEVA”.</w:t>
      </w:r>
    </w:p>
    <w:p>
      <w:pPr>
        <w:spacing w:after="0" w:line="141"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4"/>
          <w:szCs w:val="14"/>
          <w:color w:val="auto"/>
        </w:rPr>
        <w:t>Aeva is a Delaware corporation. Our principal offices are located at 555 Ellis Street, Mountain View, CA 94043, and our telephone number is</w:t>
      </w:r>
    </w:p>
    <w:p>
      <w:pPr>
        <w:spacing w:after="0" w:line="22" w:lineRule="exact"/>
        <w:rPr>
          <w:sz w:val="20"/>
          <w:szCs w:val="20"/>
          <w:color w:val="auto"/>
        </w:rPr>
      </w:pPr>
    </w:p>
    <w:p>
      <w:pPr>
        <w:ind w:left="1500" w:right="779" w:hanging="7"/>
        <w:spacing w:after="0" w:line="261" w:lineRule="auto"/>
        <w:tabs>
          <w:tab w:leader="none" w:pos="183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481-7070. Our website address is https://www.aeva.com. Information contained on or accessible through our website is not part of this prospectus supplement and is not incorporated by reference herein.</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36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7825" cy="463613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Issuer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Aeva Technologies, Inc.</w:t>
      </w:r>
    </w:p>
    <w:p>
      <w:pPr>
        <w:spacing w:after="0" w:line="124"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3"/>
          <w:szCs w:val="13"/>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4,494,382 shares.</w:t>
      </w:r>
    </w:p>
    <w:p>
      <w:pPr>
        <w:spacing w:after="0" w:line="124"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Common stock to be outstanding after this offering</w:t>
      </w:r>
    </w:p>
    <w:p>
      <w:pPr>
        <w:spacing w:after="0" w:line="20" w:lineRule="exact"/>
        <w:rPr>
          <w:sz w:val="20"/>
          <w:szCs w:val="20"/>
          <w:color w:val="auto"/>
        </w:rPr>
      </w:pPr>
      <w:r>
        <w:rPr>
          <w:sz w:val="20"/>
          <w:szCs w:val="20"/>
          <w:color w:val="auto"/>
        </w:rPr>
        <w:br w:type="column"/>
      </w:r>
    </w:p>
    <w:p>
      <w:pPr>
        <w:ind w:right="599"/>
        <w:spacing w:after="0" w:line="283" w:lineRule="auto"/>
        <w:rPr>
          <w:sz w:val="20"/>
          <w:szCs w:val="20"/>
          <w:color w:val="auto"/>
        </w:rPr>
      </w:pPr>
      <w:r>
        <w:rPr>
          <w:rFonts w:ascii="Times New Roman" w:cs="Times New Roman" w:eastAsia="Times New Roman" w:hAnsi="Times New Roman"/>
          <w:sz w:val="14"/>
          <w:szCs w:val="14"/>
          <w:color w:val="auto"/>
        </w:rPr>
        <w:t>4,494,382 shares of our common stock (or 5,168,539 shares if the underwriters exercise their option to purchase additional shares in full).</w:t>
      </w:r>
    </w:p>
    <w:p>
      <w:pPr>
        <w:spacing w:after="0" w:line="52" w:lineRule="exact"/>
        <w:rPr>
          <w:sz w:val="20"/>
          <w:szCs w:val="20"/>
          <w:color w:val="auto"/>
        </w:rPr>
      </w:pPr>
    </w:p>
    <w:p>
      <w:pPr>
        <w:sectPr>
          <w:pgSz w:w="11900" w:h="16838" w:orient="portrait"/>
          <w:cols w:equalWidth="0" w:num="2">
            <w:col w:w="4360" w:space="28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Underwriters’ option to purchase additional shares</w:t>
      </w:r>
    </w:p>
    <w:p>
      <w:pPr>
        <w:spacing w:after="0" w:line="20" w:lineRule="exact"/>
        <w:rPr>
          <w:sz w:val="20"/>
          <w:szCs w:val="20"/>
          <w:color w:val="auto"/>
        </w:rPr>
      </w:pPr>
      <w:r>
        <w:rPr>
          <w:sz w:val="20"/>
          <w:szCs w:val="20"/>
          <w:color w:val="auto"/>
        </w:rPr>
        <w:br w:type="column"/>
      </w:r>
    </w:p>
    <w:p>
      <w:pPr>
        <w:ind w:right="459"/>
        <w:spacing w:after="0" w:line="267" w:lineRule="auto"/>
        <w:rPr>
          <w:sz w:val="20"/>
          <w:szCs w:val="20"/>
          <w:color w:val="auto"/>
        </w:rPr>
      </w:pPr>
      <w:r>
        <w:rPr>
          <w:rFonts w:ascii="Times New Roman" w:cs="Times New Roman" w:eastAsia="Times New Roman" w:hAnsi="Times New Roman"/>
          <w:sz w:val="14"/>
          <w:szCs w:val="14"/>
          <w:color w:val="auto"/>
        </w:rPr>
        <w:t>We intend to grant the underwriters an option for a period of 30 days to purchase up to 674,157 additional shares of our common stock. The underwriters can exercise this option at any time within 30 days after the date of this prospectus supplement.</w:t>
      </w:r>
    </w:p>
    <w:p>
      <w:pPr>
        <w:spacing w:after="0" w:line="62" w:lineRule="exact"/>
        <w:rPr>
          <w:sz w:val="20"/>
          <w:szCs w:val="20"/>
          <w:color w:val="auto"/>
        </w:rPr>
      </w:pPr>
    </w:p>
    <w:p>
      <w:pPr>
        <w:sectPr>
          <w:pgSz w:w="11900" w:h="16838" w:orient="portrait"/>
          <w:cols w:equalWidth="0" w:num="2">
            <w:col w:w="4340" w:space="30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jc w:val="both"/>
        <w:ind w:right="439"/>
        <w:spacing w:after="0" w:line="261" w:lineRule="auto"/>
        <w:rPr>
          <w:sz w:val="20"/>
          <w:szCs w:val="20"/>
          <w:color w:val="auto"/>
        </w:rPr>
      </w:pPr>
      <w:r>
        <w:rPr>
          <w:rFonts w:ascii="Times New Roman" w:cs="Times New Roman" w:eastAsia="Times New Roman" w:hAnsi="Times New Roman"/>
          <w:sz w:val="14"/>
          <w:szCs w:val="14"/>
          <w:color w:val="auto"/>
        </w:rPr>
        <w:t>We estimate that the net proceeds from this offering will be approximately $94.4 million, after deducting estimated underwriting discounts and commissions and estimated offering expenses payable by us (or approximately $108.7 million if the underwriters exercise their option to purchase additional shares in full).</w:t>
      </w:r>
    </w:p>
    <w:p>
      <w:pPr>
        <w:spacing w:after="0" w:line="68"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14"/>
          <w:szCs w:val="14"/>
          <w:color w:val="auto"/>
        </w:rPr>
        <w:t>We currently intend to use the net proceeds from this offering for general corporate</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color w:val="auto"/>
        </w:rPr>
        <w:t>purposes, including to meet the accelerating commercial interest in AI infrastructure and</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Co-Packaged Optics (CPO) in addition to the growing demand for existing applications.</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See “Use of Proceeds” on page S-10 of this prospectus supplement.</w:t>
      </w:r>
    </w:p>
    <w:p>
      <w:pPr>
        <w:sectPr>
          <w:pgSz w:w="11900" w:h="16838" w:orient="portrait"/>
          <w:cols w:equalWidth="0" w:num="1">
            <w:col w:w="10159"/>
          </w:cols>
          <w:pgMar w:left="300" w:top="386" w:right="1440" w:bottom="1440" w:gutter="0" w:footer="0" w:header="0"/>
          <w:type w:val="continuous"/>
        </w:sectPr>
      </w:pPr>
    </w:p>
    <w:p>
      <w:pPr>
        <w:spacing w:after="0" w:line="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499"/>
        <w:spacing w:after="0" w:line="267" w:lineRule="auto"/>
        <w:rPr>
          <w:sz w:val="20"/>
          <w:szCs w:val="20"/>
          <w:color w:val="auto"/>
        </w:rPr>
      </w:pPr>
      <w:r>
        <w:rPr>
          <w:rFonts w:ascii="Times New Roman" w:cs="Times New Roman" w:eastAsia="Times New Roman" w:hAnsi="Times New Roman"/>
          <w:sz w:val="14"/>
          <w:szCs w:val="14"/>
          <w:color w:val="auto"/>
        </w:rPr>
        <w:t>Investing in our common stock involves significant risks. See “Risk Factors” on page S-6 of this prospectus supplement, page 5 of the accompanying prospectus and under similar headings in other documents incorporated by reference into this prospectus supplement.</w:t>
      </w:r>
    </w:p>
    <w:p>
      <w:pPr>
        <w:spacing w:after="0" w:line="62"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“AEVA”.</w:t>
      </w:r>
    </w:p>
    <w:p>
      <w:pPr>
        <w:spacing w:after="0" w:line="198"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62,984,603 shares of our common stock outstanding as of March 31, 2026, and unless otherwise indicated, excludes:</w:t>
      </w:r>
    </w:p>
    <w:p>
      <w:pPr>
        <w:spacing w:after="0" w:line="52" w:lineRule="exact"/>
        <w:rPr>
          <w:sz w:val="20"/>
          <w:szCs w:val="20"/>
          <w:color w:val="auto"/>
        </w:rPr>
      </w:pPr>
    </w:p>
    <w:p>
      <w:pPr>
        <w:ind w:left="2220" w:right="61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2,307,265 shares of common stock issuable upon the exercise of stock options outstanding as of March 31, 2026, with a weighted-average exercise price of $2.82 per share;</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6,098,455 shares of common stock issuable upon the vesting and settlement of restricted stock units outstanding as of March 31, 2026;</w:t>
      </w:r>
    </w:p>
    <w:p>
      <w:pPr>
        <w:spacing w:after="0" w:line="102" w:lineRule="exact"/>
        <w:rPr>
          <w:rFonts w:ascii="Times New Roman" w:cs="Times New Roman" w:eastAsia="Times New Roman" w:hAnsi="Times New Roman"/>
          <w:sz w:val="14"/>
          <w:szCs w:val="14"/>
          <w:color w:val="auto"/>
        </w:rPr>
      </w:pPr>
    </w:p>
    <w:p>
      <w:pPr>
        <w:ind w:left="2220" w:right="49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735,294 shares of common stock issuable upon the vesting and settlement of performance-based restricted stock units outstanding as of March 31, 2026;</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1,897,916 shares of common stock issuable upon the vesting and settlement of restricted stock units granted after March 31, 2026;</w:t>
      </w:r>
    </w:p>
    <w:p>
      <w:pPr>
        <w:spacing w:after="0" w:line="102" w:lineRule="exact"/>
        <w:rPr>
          <w:rFonts w:ascii="Times New Roman" w:cs="Times New Roman" w:eastAsia="Times New Roman" w:hAnsi="Times New Roman"/>
          <w:sz w:val="14"/>
          <w:szCs w:val="14"/>
          <w:color w:val="auto"/>
        </w:rPr>
      </w:pPr>
    </w:p>
    <w:p>
      <w:pPr>
        <w:ind w:left="2220" w:right="47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1,599,770 shares of common stock issuable upon the vesting and settlement of performance-based restricted stock units granted after March 31, 2026;</w:t>
      </w:r>
    </w:p>
    <w:p>
      <w:pPr>
        <w:spacing w:after="0" w:line="51" w:lineRule="exact"/>
        <w:rPr>
          <w:rFonts w:ascii="Times New Roman" w:cs="Times New Roman" w:eastAsia="Times New Roman" w:hAnsi="Times New Roman"/>
          <w:sz w:val="14"/>
          <w:szCs w:val="14"/>
          <w:color w:val="auto"/>
        </w:rPr>
      </w:pPr>
    </w:p>
    <w:p>
      <w:pPr>
        <w:ind w:left="2220" w:right="39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 shares of common stock issuable upon the exercise of Series A warrants outstanding as of March 31, 2026, with an exercise price of $5.00 per share;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1602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7825" cy="1602740"/>
                    </a:xfrm>
                    <a:prstGeom prst="rect">
                      <a:avLst/>
                    </a:prstGeom>
                    <a:noFill/>
                  </pic:spPr>
                </pic:pic>
              </a:graphicData>
            </a:graphic>
          </wp:anchor>
        </w:drawing>
      </w:r>
    </w:p>
    <w:p>
      <w:pPr>
        <w:spacing w:after="0" w:line="368" w:lineRule="exact"/>
        <w:rPr>
          <w:sz w:val="20"/>
          <w:szCs w:val="20"/>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issuable upon conversion of our 4.375% Convertible Senior Notes (the “Notes”);</w:t>
      </w:r>
    </w:p>
    <w:p>
      <w:pPr>
        <w:spacing w:after="0" w:line="102" w:lineRule="exact"/>
        <w:rPr>
          <w:rFonts w:ascii="Times New Roman" w:cs="Times New Roman" w:eastAsia="Times New Roman" w:hAnsi="Times New Roman"/>
          <w:sz w:val="14"/>
          <w:szCs w:val="14"/>
          <w:color w:val="auto"/>
        </w:rPr>
      </w:pPr>
    </w:p>
    <w:p>
      <w:pPr>
        <w:ind w:left="2220" w:right="399" w:hanging="316"/>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149,038 shares of common stock paid in May 2026 as interest on the Notes and any shares of common stock that we may in the future pay as interest on the Notes at our election; and</w:t>
      </w:r>
    </w:p>
    <w:p>
      <w:pPr>
        <w:spacing w:after="0" w:line="51" w:lineRule="exact"/>
        <w:rPr>
          <w:rFonts w:ascii="Times New Roman" w:cs="Times New Roman" w:eastAsia="Times New Roman" w:hAnsi="Times New Roman"/>
          <w:sz w:val="14"/>
          <w:szCs w:val="14"/>
          <w:color w:val="auto"/>
        </w:rPr>
      </w:pPr>
    </w:p>
    <w:p>
      <w:pPr>
        <w:ind w:left="2220" w:right="539" w:hanging="316"/>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11,325,642 shares of common stock reserved for issuance under our 2022 Employee Stock Purchase Plan (the “ESPP”), as of March 31, 2026, as well as any automatic increases in the number of shares of common stock reserved for future issuance under the ESPP.</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Unless otherwise indicated, all information in this prospectus supplement assumes:</w:t>
      </w:r>
    </w:p>
    <w:p>
      <w:pPr>
        <w:spacing w:after="0" w:line="102" w:lineRule="exact"/>
        <w:rPr>
          <w:sz w:val="20"/>
          <w:szCs w:val="20"/>
          <w:color w:val="auto"/>
        </w:rPr>
      </w:pPr>
    </w:p>
    <w:p>
      <w:pPr>
        <w:ind w:left="2220" w:hanging="316"/>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underwriters’ option to purchase additional shares of our common stock; and</w:t>
      </w:r>
    </w:p>
    <w:p>
      <w:pPr>
        <w:spacing w:after="0" w:line="102" w:lineRule="exact"/>
        <w:rPr>
          <w:rFonts w:ascii="Times New Roman" w:cs="Times New Roman" w:eastAsia="Times New Roman" w:hAnsi="Times New Roman"/>
          <w:sz w:val="14"/>
          <w:szCs w:val="14"/>
          <w:color w:val="auto"/>
        </w:rPr>
      </w:pPr>
    </w:p>
    <w:p>
      <w:pPr>
        <w:ind w:left="2220" w:right="639" w:hanging="316"/>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or settlement of the outstanding stock options, warrants, convertible notes, restricted stock units or performance-based restricted stock units described above.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2025,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our securities in this offering, you will incur immediate and substantial dilution in the book value of your shares.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Investors purchasing securities in this offering will pay a price per share that substantially exceeds the as adjusted net tangible book value per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 of our common stock. As a result, investors purchasing securities in this offering will incur immediate dilution of $21.06 per share (or $20.86 per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 if the underwriters exercise their option to purchase additional shares in full), representing the difference between the public offering price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$22.25 and our as adjusted net tangible book value per share as of March 31, 2026. To the extent outstanding options or warrants to purchase shares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common stock are exercised, or restricted stock units are settled in shares of our common stock, investors in this offering may incur further dilution.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more information on the dilution you may suffer as a result of investing in this offering, see the section of this prospectus supplement entitled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“Dilution.”</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this offering in ways that you and other stockholders may not approve.</w:t>
      </w:r>
    </w:p>
    <w:p>
      <w:pPr>
        <w:spacing w:after="0" w:line="94"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interest-bearing, investment-grade securities, certificates of deposit or government securities.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27"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sell shares of our common stock in future financings, stockholders may experience immediate dilution and, as a result, our stock price may decline.</w:t>
      </w:r>
    </w:p>
    <w:p>
      <w:pPr>
        <w:spacing w:after="0" w:line="39"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stockholders would experience additional dilution and, as a result, our stock price may decline.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or the perception that such sales may occur, could depress the price of our common stock.</w:t>
      </w:r>
    </w:p>
    <w:p>
      <w:pPr>
        <w:spacing w:after="0" w:line="94"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67,478,985 outstanding shares of our common stock, based on the number of shares outstanding as of March 31, 2026 and assuming that the underwriters do not exercise their option to purchase additional shares of common stock. All of the shares of common stock sold in this offering will be available for sale in the public market, unless purchased by our affiliates or existing stockholders who are subject to lock-up restrictions described below.</w:t>
      </w:r>
    </w:p>
    <w:p>
      <w:pPr>
        <w:spacing w:after="0" w:line="14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our executive officers and directors have agreed that, among other things and subject to certain exceptions, during the period ending 60 days after the date of this prospectus supplement, we and they will not offer, sell, dispose of or hedge any shares of our common stock, subject to specified limited exceptions, without, in each case, the prior written consent of Morgan Stanley &amp; Co. LLC, who may release any of the securities subject to these lock-up agreements at any time without notice. Shares held by directors, executive officers and other affiliates will be subject to volume limitations under Rule 144 under the Securities Act of 1933, as amended (the “Securities Act”), and various vesting agreements.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4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addition, we have filed a registration statement registering under the Securities Act the shares of our common stock reserved for issuance under our 2021 Incentive Award Plan, as amended, and our ESPP, including shares issuable upon exercise of outstanding options. These shares can be freely sold in the public market upon issuance, subject to volume limitations applicable to affiliates and the lock-up agreements described above.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cannot predict the effect that future sales of common stock or other equity-related securities would have on the market price of our common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information incorporated by reference in this prospectus and any prospectus supplement contain or may contain forward-looking statements within the meaning of Section 27A of the Securities Act, and Section 21E of the Securities Exchange Act of 1934, as amended (the “Exchange Act”), which statements involve substantial risk and uncertainties. All statements contained in this prospectus supplement or accompanying prospectus and any incorporated by reference herein or therein other than statements of historical fact, including statements regarding our future results of operations and financial position, our business strategy and plans, our objectives for future operations and our anticipated use of proceeds from this offering,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or autonomous driving systems ,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“Risk Factors” of this prospectus supplement, the accompanying prospectus, and in our Annual Report on Form 10-K for the year ended December 31, 2026 as well as any periodic report incorporated by reference in this prospectus supplement or the accompanying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47"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The forward-looking statements contained in this prospectus, any prospectus supplement, the information incorporated by reference in this prospectus or any prospectus supplement, or any free writing prospectus we may authorize are based on information currently available to us and expectations and assumptions that we deem reasonable at the time the statements were made. We do not undertake any obligation to update any forward-looking statements in this prospectus, any prospectus supplement, including the information incorporated by reference in this prospectus or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any prospectus supplement, any free writing prospectus we may authorize or in any of our other communications, except as required by law. Such forward-looking statements are subject to risks, uncertainties (some of which are beyond our control)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estimate that net proceeds from this offering will be approximately $94.4 million, or approximately $108.7 million if the underwriters exercise their option to purchase additional shares in full, after deducting underwriting discounts and commissions and estimated offering expenses payable by us.</w:t>
      </w:r>
    </w:p>
    <w:p>
      <w:pPr>
        <w:spacing w:after="0" w:line="136"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for general corporate purposes including to meet the accelerating commercial interest in AI infrastructure and Co-Packaged Optics (CPO) in addition to the growing demand for existing applications.</w:t>
      </w:r>
    </w:p>
    <w:p>
      <w:pPr>
        <w:spacing w:after="0" w:line="125"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Pending our use of the net proceeds from this offering, we plan to invest the net proceeds in interest-bearing, investment-grade securities, certificates of deposit or government securities.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8"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capitalization as of March 31, 2026:</w:t>
      </w:r>
    </w:p>
    <w:p>
      <w:pPr>
        <w:spacing w:after="0" w:line="102" w:lineRule="exact"/>
        <w:rPr>
          <w:sz w:val="20"/>
          <w:szCs w:val="20"/>
          <w:color w:val="auto"/>
        </w:rPr>
      </w:pPr>
    </w:p>
    <w:p>
      <w:pPr>
        <w:ind w:left="2460" w:hanging="257"/>
        <w:spacing w:after="0"/>
        <w:tabs>
          <w:tab w:leader="none" w:pos="2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102" w:lineRule="exact"/>
        <w:rPr>
          <w:rFonts w:ascii="Times New Roman" w:cs="Times New Roman" w:eastAsia="Times New Roman" w:hAnsi="Times New Roman"/>
          <w:sz w:val="14"/>
          <w:szCs w:val="14"/>
          <w:color w:val="auto"/>
        </w:rPr>
      </w:pPr>
    </w:p>
    <w:p>
      <w:pPr>
        <w:ind w:left="2460" w:right="359" w:hanging="257"/>
        <w:spacing w:after="0" w:line="267" w:lineRule="auto"/>
        <w:tabs>
          <w:tab w:leader="none" w:pos="2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the issuance and sale by us of 4,494,382 shares of common stock in this offering, at the public offering price of $22.25 per share, after deducting underwriting discounts and commissions and estimated offering expenses payable by us</w:t>
      </w:r>
    </w:p>
    <w:p>
      <w:pPr>
        <w:spacing w:after="0" w:line="136"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You should read this table in conjunction with the sections titled “Management’s Discussion and Analysis of Financial Condition and Results of Operations” and our financial statements and related notes appearing in our Annual Report on Form 10-K for the year ended December 31, 2205 and our Quarterly Report on Form 10-Q for the quarter ended March 31, 2026, which are incorporated by reference in this prospectus supplement and the accompanying prospectus.</w:t>
      </w:r>
    </w:p>
    <w:p>
      <w:pPr>
        <w:spacing w:after="0" w:line="158"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0" w:type="dxa"/>
            <w:vAlign w:val="bottom"/>
          </w:tcPr>
          <w:p>
            <w:pPr>
              <w:spacing w:after="0"/>
              <w:rPr>
                <w:sz w:val="1"/>
                <w:szCs w:val="1"/>
                <w:color w:val="auto"/>
              </w:rPr>
            </w:pPr>
          </w:p>
        </w:tc>
      </w:tr>
      <w:tr>
        <w:trPr>
          <w:trHeight w:val="106"/>
        </w:trPr>
        <w:tc>
          <w:tcPr>
            <w:tcW w:w="44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gridSpan w:val="2"/>
          </w:tcPr>
          <w:p>
            <w:pPr>
              <w:jc w:val="right"/>
              <w:ind w:right="690"/>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7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As Adjusted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80" w:type="dxa"/>
            <w:vAlign w:val="bottom"/>
            <w:gridSpan w:val="2"/>
          </w:tcPr>
          <w:p>
            <w:pPr>
              <w:jc w:val="center"/>
              <w:ind w:right="611"/>
              <w:spacing w:after="0" w:line="8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thousands, except share data)</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31,176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125,616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96,793</w:t>
            </w:r>
          </w:p>
        </w:tc>
        <w:tc>
          <w:tcPr>
            <w:tcW w:w="5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96,793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8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Common stock, $0.0001 par value; 422,000,000 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authorized; 62,984,603 shares issued and outstanding, actual;</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67,478,985 shares issued and outstanding, as adjusted</w:t>
            </w:r>
          </w:p>
        </w:tc>
        <w:tc>
          <w:tcPr>
            <w:tcW w:w="140" w:type="dxa"/>
            <w:vAlign w:val="bottom"/>
          </w:tcPr>
          <w:p>
            <w:pPr>
              <w:spacing w:after="0"/>
              <w:rPr>
                <w:sz w:val="15"/>
                <w:szCs w:val="15"/>
                <w:color w:val="auto"/>
              </w:rPr>
            </w:pPr>
          </w:p>
        </w:tc>
        <w:tc>
          <w:tcPr>
            <w:tcW w:w="110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779,883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874,322</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Pr>
          <w:p>
            <w:pPr>
              <w:spacing w:after="0"/>
              <w:rPr>
                <w:sz w:val="14"/>
                <w:szCs w:val="14"/>
                <w:color w:val="auto"/>
              </w:rPr>
            </w:pPr>
          </w:p>
        </w:tc>
        <w:tc>
          <w:tcPr>
            <w:tcW w:w="110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(792,268)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(792,268)</w:t>
            </w:r>
          </w:p>
        </w:tc>
        <w:tc>
          <w:tcPr>
            <w:tcW w:w="0" w:type="dxa"/>
            <w:vAlign w:val="bottom"/>
          </w:tcPr>
          <w:p>
            <w:pPr>
              <w:spacing w:after="0"/>
              <w:rPr>
                <w:sz w:val="1"/>
                <w:szCs w:val="1"/>
                <w:color w:val="auto"/>
              </w:rPr>
            </w:pPr>
          </w:p>
        </w:tc>
      </w:tr>
      <w:tr>
        <w:trPr>
          <w:trHeight w:val="170"/>
        </w:trPr>
        <w:tc>
          <w:tcPr>
            <w:tcW w:w="44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(12,409)</w:t>
            </w:r>
          </w:p>
        </w:tc>
        <w:tc>
          <w:tcPr>
            <w:tcW w:w="5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84,384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178,824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number of shares of our common stock issued and outstanding as of March 31, 2026 as reported in the table above excludes:</w:t>
      </w:r>
    </w:p>
    <w:p>
      <w:pPr>
        <w:spacing w:after="0" w:line="102" w:lineRule="exact"/>
        <w:rPr>
          <w:sz w:val="20"/>
          <w:szCs w:val="20"/>
          <w:color w:val="auto"/>
        </w:rPr>
      </w:pPr>
    </w:p>
    <w:p>
      <w:pPr>
        <w:ind w:left="2100" w:right="299" w:hanging="328"/>
        <w:spacing w:after="0" w:line="283"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2,307,265 shares of common stock issuable upon the exercise of stock options outstanding as of March 31, 2026, with a weighted-average exercise price of $2.82 per share;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6,098,455 shares of common stock issuable upon the vesting and settlement of restricted stock units outstanding as of March 31, 2026;</w:t>
      </w:r>
    </w:p>
    <w:p>
      <w:pPr>
        <w:spacing w:after="0" w:line="10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735,294 shares of common stock issuable upon the vesting and settlement of performance-based restricted stock units outstanding as of March 31, 2026;</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1,897,916 shares of common stock issuable upon the vesting and settlement of restricted stock units granted after March 31, 2026;</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1,599,770 shares of common stock issuable upon the vesting and settlement of performance-based restricted stock units granted after March 31, 2026;</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 shares of common stock issuable upon the exercise of Series A warrants outstanding as of March 31, 2026, with an exercise price of $5.00 per share;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issuable upon conversion of our Notes;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279" w:hanging="328"/>
        <w:spacing w:after="0" w:line="283"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149,038 shares of common stock paid in May 2026 as interest on the Notes and any shares of common stock that we may in the future pay as interest on the Notes at our election; and</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11,325,642 shares of common stock reserved for issuance under our ESPP, as of March 31, 2026, as well as any automatic increases in the number of shares of common stock reserved for future issuance under the ESPP.</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8"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w:t>
      </w:r>
    </w:p>
    <w:p>
      <w:pPr>
        <w:spacing w:after="0" w:line="13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Historical net tangible book value per share represents our total tangible assets less our liabilities and preferred stock that is not included in equity divided by the total number of shares of common stock outstanding. As of March 31, 2026, our historical net tangible book value was approximately $(13.0) million, or $(0.21) per share of common stock, based on 62,984,603 shares of common stock outstanding as of March 31, 2026.</w:t>
      </w:r>
    </w:p>
    <w:p>
      <w:pPr>
        <w:spacing w:after="0" w:line="136"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After giving effect to our sale in this offering of 4,494,382 shares of common stock at the public offering price of $22.25 per share, and after deducting estimated underwriting discounts and commissions and estimated offering expenses payable by us, our as adjusted net tangible book value as of March 31, 2026 would have been approximately $94.4 million, or $1.19 per share of our common stock. This amount represents an immediate increase in as adjusted net tangible book value of $1.40 per share to our existing stockholders and an immediate dilution of $81.4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w:t>
      </w:r>
    </w:p>
    <w:p>
      <w:pPr>
        <w:spacing w:after="0" w:line="14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w:t>
      </w:r>
    </w:p>
    <w:p>
      <w:pPr>
        <w:spacing w:after="0" w:line="172" w:lineRule="exact"/>
        <w:rPr>
          <w:sz w:val="20"/>
          <w:szCs w:val="20"/>
          <w:color w:val="auto"/>
        </w:rPr>
      </w:pPr>
    </w:p>
    <w:tbl>
      <w:tblPr>
        <w:tblLayout w:type="fixed"/>
        <w:tblInd w:w="20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 per share</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$ 22.25</w:t>
            </w:r>
          </w:p>
        </w:tc>
        <w:tc>
          <w:tcPr>
            <w:tcW w:w="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Historical net tangible book value per share as of March 31, 2026</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xml:space="preserve">$  </w:t>
            </w:r>
          </w:p>
        </w:tc>
        <w:tc>
          <w:tcPr>
            <w:tcW w:w="13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color w:val="auto"/>
                <w:w w:val="91"/>
              </w:rPr>
              <w:t>   (0.21)</w:t>
            </w:r>
          </w:p>
        </w:tc>
      </w:tr>
      <w:tr>
        <w:trPr>
          <w:trHeight w:val="154"/>
        </w:trPr>
        <w:tc>
          <w:tcPr>
            <w:tcW w:w="20" w:type="dxa"/>
            <w:vAlign w:val="bottom"/>
          </w:tcPr>
          <w:p>
            <w:pPr>
              <w:spacing w:after="0"/>
              <w:rPr>
                <w:sz w:val="13"/>
                <w:szCs w:val="13"/>
                <w:color w:val="auto"/>
              </w:rPr>
            </w:pPr>
          </w:p>
        </w:tc>
        <w:tc>
          <w:tcPr>
            <w:tcW w:w="5400" w:type="dxa"/>
            <w:vAlign w:val="bottom"/>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Increase (decrease) in net tangible book value per share attributable to new investors in</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this offering</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55"/>
        </w:trPr>
        <w:tc>
          <w:tcPr>
            <w:tcW w:w="5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As adjusted net tangible book value per share as of March 31, 2026, immediately after this</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$ 21.06</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the underwriters’ option to purchase additional shares in this offering is exercised in full, the as adjusted net tangible book value would be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$1.39 per share, the increase in the net tangible book value per share for existing stockholders would be $1.59 per share and the dilution to new investors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participating in this offering would be $20.86 per share.</w:t>
      </w:r>
    </w:p>
    <w:p>
      <w:pPr>
        <w:spacing w:after="0" w:line="161"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foregoing tables and calculations (other than the historical net tangible book value calculation) are based on 62,984,603 shares of our common stock outstanding as of March 31, 2026, and unless otherwise indicated, excludes:</w:t>
      </w:r>
    </w:p>
    <w:p>
      <w:pPr>
        <w:spacing w:after="0" w:line="52" w:lineRule="exact"/>
        <w:rPr>
          <w:sz w:val="20"/>
          <w:szCs w:val="20"/>
          <w:color w:val="auto"/>
        </w:rPr>
      </w:pPr>
    </w:p>
    <w:p>
      <w:pPr>
        <w:ind w:left="2100" w:right="299" w:hanging="328"/>
        <w:spacing w:after="0" w:line="283"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2,307,265 shares of common stock issuable upon the exercise of stock options outstanding as of March 31, 2026, with a weighted-average exercise price of $2.82 per share;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6,098,455 shares of common stock issuable upon the vesting and settlement of restricted stock units outstanding as of March 31, 2026;</w:t>
      </w:r>
    </w:p>
    <w:p>
      <w:pPr>
        <w:spacing w:after="0" w:line="10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735,294 shares of common stock issuable upon the vesting and settlement of performance-based restricted stock units outstanding as of March 31, 2026;</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1,897,916 shares of common stock issuable upon the vesting and settlement of restricted stock units granted after March 31, 2026;</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1,599,770 shares of common stock issuable upon the vesting and settlement of performance-based restricted stock units granted after March 31, 2026;</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 shares of common stock issuable upon the exercise of Series A warrants outstanding as of March 31, 2026, with an exercise price of $5.00 per share;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issuable upon conversion of our Notes;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149,038 shares of common stock paid in May 2026 as interest on the Notes and any shares of common stock that we may in the future pay as interest on the Notes at our election; and</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11,325,642 shares of common stock reserved for issuance under our ESPP, as of March 31, 2026, as well as any automatic increases in the number of shares of common stock reserved for future issuance under the ESPP.</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To the extent that outstanding warrants, stock options or RSUs are exercised or settled, as the case may be,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FOR NON-U.S. HOLDERS OF OUR COMMON STOCK</w:t>
      </w:r>
    </w:p>
    <w:p>
      <w:pPr>
        <w:spacing w:after="0" w:line="178"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following is a general discussion of the material U.S. federal income tax consequences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68" w:lineRule="exact"/>
        <w:rPr>
          <w:sz w:val="20"/>
          <w:szCs w:val="20"/>
          <w:color w:val="auto"/>
        </w:rPr>
      </w:pPr>
    </w:p>
    <w:p>
      <w:pPr>
        <w:ind w:left="2100" w:hanging="328"/>
        <w:spacing w:after="0"/>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102"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the United States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includable in gross income for U.S. federal income tax purposes regardless of its source; or</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court within the United States is able to exercise primary supervision over the administration of the trust and one or more “United States persons,” as defined under the Code (as defined below), have the authority to control all substantial decisions of the trust or (ii) such trust has made a valid election to be treated as a United States person for U.S. federal income tax purposes.</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This discussion is based on current provisions of the Internal Revenue Code of 1986, as amended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w:t>
      </w:r>
    </w:p>
    <w:p>
      <w:pPr>
        <w:spacing w:after="0" w:line="144"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or estate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w:t>
      </w:r>
    </w:p>
    <w:p>
      <w:pPr>
        <w:spacing w:after="0" w:line="150" w:lineRule="exact"/>
        <w:rPr>
          <w:sz w:val="20"/>
          <w:szCs w:val="20"/>
          <w:color w:val="auto"/>
        </w:rPr>
      </w:pPr>
    </w:p>
    <w:p>
      <w:pPr>
        <w:ind w:left="1360" w:right="3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45"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Non-U.S. holders should consult their own tax advisors regarding their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Any such certifications provided to an applicable withholding agent or intermediary must be updated periodically. If a non-U.S. holder is eligible for a reduced rate of U.S. federal withholding tax under an income tax treaty, such non-U.S. holder may generally obtain a refund or credit of any excess amounts withheld by filing an appropriate claim for a refund with the IRS in a timely manner.</w:t>
      </w:r>
    </w:p>
    <w:p>
      <w:pPr>
        <w:spacing w:after="0" w:line="152"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of fixed base maintained by the non-U.S. holder in the United States, are not subject to U.S. withholding tax. To obtain this exemption, a non-U.S. holder must provide us or our paying agent with an IRS Form W-8ECI (or any successor or substitute form thereof) properly certifying that such dividends are effectively connected with the non-U.S. holder’s conduct of a trade or business within the United States. Such effectively connected dividends, although not subject to withholding tax, are taxed at the same U.S. federal income tax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Gain on Sale or Other Disposition of Common Stock</w:t>
      </w:r>
    </w:p>
    <w:p>
      <w:pPr>
        <w:spacing w:after="0" w:line="9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62" w:lineRule="exact"/>
        <w:rPr>
          <w:sz w:val="20"/>
          <w:szCs w:val="20"/>
          <w:color w:val="auto"/>
        </w:rPr>
      </w:pPr>
    </w:p>
    <w:p>
      <w:pPr>
        <w:jc w:val="both"/>
        <w:ind w:left="2100" w:right="259" w:hanging="328"/>
        <w:spacing w:after="0" w:line="267" w:lineRule="auto"/>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or fixed base maintained by the non-U.S. holder in the United States (in which case the special rules described below apply);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279" w:hanging="328"/>
        <w:spacing w:after="0" w:line="259"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 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w:t>
      </w:r>
    </w:p>
    <w:p>
      <w:pPr>
        <w:spacing w:after="0" w:line="67"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of the Foreign Investment in Real Property Tax Act (“FIRPTA”), treat the gain as effectively connected with a U.S. trade or business.</w:t>
      </w:r>
    </w:p>
    <w:p>
      <w:pPr>
        <w:spacing w:after="0" w:line="12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property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w:t>
      </w:r>
    </w:p>
    <w:p>
      <w:pPr>
        <w:spacing w:after="0" w:line="145"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or fixed base maintained by such non-U.S. holder in the United States, then the gain generally will be subject to U.S. federal income tax at the same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Backup Withholding and Information Reporting</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4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 W-8BEN-E, or IRS Form W-8ECI (and the payer does not have actual knowledge or reason to know that such holder is a U.S. person) or otherwise establishes an exemption.</w:t>
      </w:r>
    </w:p>
    <w:p>
      <w:pPr>
        <w:spacing w:after="0" w:line="141" w:lineRule="exact"/>
        <w:rPr>
          <w:sz w:val="20"/>
          <w:szCs w:val="20"/>
          <w:color w:val="auto"/>
        </w:rPr>
      </w:pPr>
    </w:p>
    <w:p>
      <w:pPr>
        <w:ind w:left="1360" w:right="399" w:firstLine="343"/>
        <w:spacing w:after="0" w:line="256" w:lineRule="auto"/>
        <w:rPr>
          <w:sz w:val="20"/>
          <w:szCs w:val="20"/>
          <w:color w:val="auto"/>
        </w:rPr>
      </w:pPr>
      <w:r>
        <w:rPr>
          <w:rFonts w:ascii="Times New Roman" w:cs="Times New Roman" w:eastAsia="Times New Roman" w:hAnsi="Times New Roman"/>
          <w:sz w:val="14"/>
          <w:szCs w:val="14"/>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9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Under the Foreign Account Tax Compliance Act (“FATCA”), withholding tax of 30% applies to certain payments to foreign financial institutions, including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4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36"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Prospective investors are encouraged to consult with their own tax advisors regarding the possible implications of FATCA on their investment in our common stock.</w:t>
      </w:r>
    </w:p>
    <w:p>
      <w:pPr>
        <w:spacing w:after="0" w:line="12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b w:val="1"/>
          <w:bCs w:val="1"/>
          <w:color w:val="auto"/>
        </w:rPr>
        <w:t>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STATE, LOCAL, AND NON-U.S. TAX CONSEQUENCES OF PURCHASING, HOLDING, AND DISPOSING OF OUR COMMON STOCK, INCLUDING THE CONSEQUENCES OF ANY PROPOSED CHANGE IN APPLICABLE LAWS.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dated the date of this prospectus supplement, the underwriters named below, for whom Morgan Stanley &amp; Co. LLC is acting as representative, have severally agreed to purchase, and we have agreed to sell to them, severally, the number of shares indicated below:</w:t>
      </w:r>
    </w:p>
    <w:p>
      <w:pPr>
        <w:spacing w:after="0" w:line="153" w:lineRule="exact"/>
        <w:rPr>
          <w:sz w:val="20"/>
          <w:szCs w:val="20"/>
          <w:color w:val="auto"/>
        </w:rPr>
      </w:pPr>
    </w:p>
    <w:tbl>
      <w:tblPr>
        <w:tblLayout w:type="fixed"/>
        <w:tblInd w:w="2720" w:type="dxa"/>
        <w:tblCellMar>
          <w:top w:w="0" w:type="dxa"/>
          <w:left w:w="0" w:type="dxa"/>
          <w:bottom w:w="0" w:type="dxa"/>
          <w:right w:w="0" w:type="dxa"/>
        </w:tblCellMar>
      </w:tblPr>
      <w:tr>
        <w:trPr>
          <w:trHeight w:val="155"/>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62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 of Shares</w:t>
            </w:r>
          </w:p>
        </w:tc>
      </w:tr>
      <w:tr>
        <w:trPr>
          <w:trHeight w:val="149"/>
        </w:trPr>
        <w:tc>
          <w:tcPr>
            <w:tcW w:w="49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Morgan Stanley &amp; Co. LLC</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2,696,629</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1,348,315</w:t>
            </w:r>
          </w:p>
        </w:tc>
      </w:tr>
      <w:tr>
        <w:trPr>
          <w:trHeight w:val="168"/>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Oppenheimer &amp; Co. Inc.</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449,438</w:t>
            </w:r>
          </w:p>
        </w:tc>
      </w:tr>
      <w:tr>
        <w:trPr>
          <w:trHeight w:val="173"/>
        </w:trPr>
        <w:tc>
          <w:tcPr>
            <w:tcW w:w="49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4,494,382</w:t>
            </w:r>
          </w:p>
        </w:tc>
        <w:tc>
          <w:tcPr>
            <w:tcW w:w="40" w:type="dxa"/>
            <w:vAlign w:val="bottom"/>
          </w:tcPr>
          <w:p>
            <w:pPr>
              <w:spacing w:after="0"/>
              <w:rPr>
                <w:sz w:val="15"/>
                <w:szCs w:val="15"/>
                <w:color w:val="auto"/>
              </w:rPr>
            </w:pPr>
          </w:p>
        </w:tc>
      </w:tr>
    </w:tbl>
    <w:p>
      <w:pPr>
        <w:spacing w:after="0" w:line="150"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underwriters and the representative are collectively referred to as the “underwriters” and the “representative,”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$0.6675 per share under the public offering price. After the initial offering of the shares of common stock, the offering price and other selling terms may from time to time be varied by the representative.</w:t>
      </w:r>
    </w:p>
    <w:p>
      <w:pPr>
        <w:spacing w:after="0" w:line="141"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have granted to the underwriters an option, exercisable for 30 days from the date of this prospectus supplement, to purchase up to 674,157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674,157 shares of common stock.</w:t>
      </w:r>
    </w:p>
    <w:p>
      <w:pPr>
        <w:spacing w:after="0" w:line="153"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Per</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317"/>
              <w:spacing w:after="0" w:line="87" w:lineRule="exact"/>
              <w:rPr>
                <w:sz w:val="20"/>
                <w:szCs w:val="20"/>
                <w:color w:val="auto"/>
              </w:rPr>
            </w:pPr>
            <w:r>
              <w:rPr>
                <w:rFonts w:ascii="Times New Roman" w:cs="Times New Roman" w:eastAsia="Times New Roman" w:hAnsi="Times New Roman"/>
                <w:sz w:val="10"/>
                <w:szCs w:val="10"/>
                <w:b w:val="1"/>
                <w:bCs w:val="1"/>
                <w:color w:val="auto"/>
              </w:rPr>
              <w:t>No</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right="57"/>
              <w:spacing w:after="0" w:line="87" w:lineRule="exact"/>
              <w:rPr>
                <w:sz w:val="20"/>
                <w:szCs w:val="20"/>
                <w:color w:val="auto"/>
              </w:rPr>
            </w:pPr>
            <w:r>
              <w:rPr>
                <w:rFonts w:ascii="Times New Roman" w:cs="Times New Roman" w:eastAsia="Times New Roman" w:hAnsi="Times New Roman"/>
                <w:sz w:val="10"/>
                <w:szCs w:val="10"/>
                <w:b w:val="1"/>
                <w:bCs w:val="1"/>
                <w:color w:val="auto"/>
              </w:rPr>
              <w:t>Full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Share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59"/>
        </w:trPr>
        <w:tc>
          <w:tcPr>
            <w:tcW w:w="3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22.25</w:t>
            </w:r>
          </w:p>
        </w:tc>
        <w:tc>
          <w:tcPr>
            <w:tcW w:w="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100,000,000</w:t>
            </w:r>
          </w:p>
        </w:tc>
        <w:tc>
          <w:tcPr>
            <w:tcW w:w="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114,999,993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to be paid by us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21.1375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95,000,000</w:t>
            </w:r>
          </w:p>
        </w:tc>
        <w:tc>
          <w:tcPr>
            <w:tcW w:w="4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109,249,993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estimated offering expenses payable by us, exclusive of the underwriting discounts and commissions, are approximately $560,000. We have agreed to reimburse the underwriters for all expenses relating to clearance of this offering with the Financial Industry Regulatory Authority.</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trading symbol “AEVA”.</w:t>
      </w:r>
    </w:p>
    <w:p>
      <w:pPr>
        <w:spacing w:after="0" w:line="176"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We have agreed that, without the prior written consent of Morgan Stanley &amp; Co. LLC on behalf of the underwriters, we will not, and will not publicly disclose an intention to, during the period ending 60 days after the date of this prospectus supplement (the “restricted period”), (a)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(b) enter into any swap or other arrangement that transfers to another, in whole or in part, any of the economic consequences of ownership of the common stock, whether any such transaction is to be settled by delivery of common stock or such other securities, in cash or otherwise, or (c) file any registration statement with the Securities and Exchange Commission relating to the offering of any shares of common stock or any securities convertible into or exercisable or exchangeable for common stock.</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restrictions described in the immediately preceding paragraph to do not apply to:</w:t>
      </w:r>
    </w:p>
    <w:p>
      <w:pPr>
        <w:spacing w:after="0" w:line="102" w:lineRule="exact"/>
        <w:rPr>
          <w:sz w:val="20"/>
          <w:szCs w:val="20"/>
          <w:color w:val="auto"/>
        </w:rPr>
      </w:pPr>
    </w:p>
    <w:p>
      <w:pPr>
        <w:ind w:left="2100" w:hanging="328"/>
        <w:spacing w:after="0"/>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shares to the underwriters;</w:t>
      </w:r>
    </w:p>
    <w:p>
      <w:pPr>
        <w:spacing w:after="0" w:line="102" w:lineRule="exact"/>
        <w:rPr>
          <w:rFonts w:ascii="Times New Roman" w:cs="Times New Roman" w:eastAsia="Times New Roman" w:hAnsi="Times New Roman"/>
          <w:sz w:val="14"/>
          <w:szCs w:val="14"/>
          <w:color w:val="auto"/>
        </w:rPr>
      </w:pPr>
    </w:p>
    <w:p>
      <w:pPr>
        <w:ind w:left="2100" w:right="779" w:hanging="328"/>
        <w:spacing w:after="0" w:line="283"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by the Company of shares of common stock upon the exercise of an option or warrant or the conversion of a security outstanding on the date of this prospectus supplement as described herein;</w:t>
      </w:r>
    </w:p>
    <w:p>
      <w:pPr>
        <w:spacing w:after="0" w:line="51" w:lineRule="exact"/>
        <w:rPr>
          <w:rFonts w:ascii="Times New Roman" w:cs="Times New Roman" w:eastAsia="Times New Roman" w:hAnsi="Times New Roman"/>
          <w:sz w:val="14"/>
          <w:szCs w:val="14"/>
          <w:color w:val="auto"/>
        </w:rPr>
      </w:pPr>
    </w:p>
    <w:p>
      <w:pPr>
        <w:jc w:val="both"/>
        <w:ind w:left="2100" w:right="279" w:hanging="328"/>
        <w:spacing w:after="0" w:line="267"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options, restricted stock or other compensatory equity awards and the issuance of shares of our common stock in connection with the exercise, vesting and/or settlement of any of the foregoing to our employees, officers, directors, advisors or consultants pursuant to the terms of a plan in effect on the date of this prospectus supplement and as described herein;</w:t>
      </w:r>
    </w:p>
    <w:p>
      <w:pPr>
        <w:spacing w:after="0" w:line="62" w:lineRule="exact"/>
        <w:rPr>
          <w:rFonts w:ascii="Times New Roman" w:cs="Times New Roman" w:eastAsia="Times New Roman" w:hAnsi="Times New Roman"/>
          <w:sz w:val="14"/>
          <w:szCs w:val="14"/>
          <w:color w:val="auto"/>
        </w:rPr>
      </w:pPr>
    </w:p>
    <w:p>
      <w:pPr>
        <w:ind w:left="2100" w:right="219" w:hanging="328"/>
        <w:spacing w:after="0" w:line="259"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filing of registration statements on Form S-8 with respect to the employee benefit plans described herein; and</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of our common stock as payment of interest on the our outstanding 4.375% Convertible Senior Notes due 2032 in accordance with their terms.</w:t>
      </w:r>
    </w:p>
    <w:p>
      <w:pPr>
        <w:spacing w:after="0" w:line="125" w:lineRule="exact"/>
        <w:rPr>
          <w:sz w:val="20"/>
          <w:szCs w:val="20"/>
          <w:color w:val="auto"/>
        </w:rPr>
      </w:pPr>
    </w:p>
    <w:p>
      <w:pPr>
        <w:jc w:val="both"/>
        <w:ind w:left="1360" w:right="599" w:firstLine="343"/>
        <w:spacing w:after="0" w:line="282" w:lineRule="auto"/>
        <w:rPr>
          <w:sz w:val="20"/>
          <w:szCs w:val="20"/>
          <w:color w:val="auto"/>
        </w:rPr>
      </w:pPr>
      <w:r>
        <w:rPr>
          <w:rFonts w:ascii="Times New Roman" w:cs="Times New Roman" w:eastAsia="Times New Roman" w:hAnsi="Times New Roman"/>
          <w:sz w:val="13"/>
          <w:szCs w:val="13"/>
          <w:color w:val="auto"/>
        </w:rPr>
        <w:t>Our directors and officers (each, a “lock-up party” and together, the “lock-up parties”) have agreed that, without the prior written consent of Morgan Stanley &amp; Co. LLC on behalf of the underwriters, they will not, and will not publicly disclose an intention to, during the restricted period,</w:t>
      </w:r>
    </w:p>
    <w:p>
      <w:pPr>
        <w:ind w:left="1360" w:right="219" w:hanging="9"/>
        <w:spacing w:after="0" w:line="252" w:lineRule="auto"/>
        <w:tabs>
          <w:tab w:leader="none" w:pos="155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(b) enter into any swap or other arrangement that transfers to another, in whole or in part, any of the economic consequences of ownership of the common stock, whether any such transaction is to be settled by delivery of common stock or such other securities, in cash or otherwise. The lock-up parties acknowledge and agree that they are precluded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lock-up parties.</w:t>
      </w:r>
    </w:p>
    <w:p>
      <w:pPr>
        <w:spacing w:after="0" w:line="148"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do not apply to (a) transactions relating to shares of common stock or other securities acquired in open market transactions after the completion of this offering; (b) transfers of shares of common stock or any security convertible into common stock (1) as a bona</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fide gift or charitable contribution or (2) for bona fide estate planning purposes, in each case, in a transfer not involving a disposition for value;</w:t>
      </w:r>
    </w:p>
    <w:p>
      <w:pPr>
        <w:spacing w:after="0" w:line="22" w:lineRule="exact"/>
        <w:rPr>
          <w:sz w:val="20"/>
          <w:szCs w:val="20"/>
          <w:color w:val="auto"/>
        </w:rPr>
      </w:pPr>
    </w:p>
    <w:p>
      <w:pPr>
        <w:ind w:left="1360" w:right="219" w:hanging="9"/>
        <w:spacing w:after="0" w:line="250" w:lineRule="auto"/>
        <w:tabs>
          <w:tab w:leader="none" w:pos="155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or dispositions of shares of common stock or any security convertible into or exercisable for common stock to any member of the immediate family of the lock-up party or any trust for the direct or indirect benefit of the lock-up party or the immediate family of the lock-up party, or if the lock-up party is a trust, to a trustor, trustee or any beneficiary (including such trustor, trustee or beneficiary’s estate) in a transaction not involving a disposition for value; (d) distributions, transfers or dispositions of shares of common stock or any security convertible into or exercisable for common stock to any corporation, partnership, limited liability company, other entity that is an affiliate of the lock-up party or of which all of the beneficial ownership interests of which are held by the lock-up party or the immediate family of the lock-up party in a transaction not involving a disposition for value; (e) transfers or dispositions of shares of common stock or any security convertible into or exercisable for common stock (1) by will, other testamentary document or intestate succession and (2) by operation of law including, without limitation, pursuant to orders of a court or regulatory agency, in connection with a negotiated divorce settlement, pursuant to a qualified domestic relations order or by other court order; (f) to a nominee or custodian of a person or entity to whom a disposition or transfer would be permissible under the clauses above; (g) distributions, transfers or dispositions of shares of common stock or any security convertible into or exercisable for common stock to limited partners or stockholders of the lock-up party; (h)</w:t>
      </w:r>
    </w:p>
    <w:p>
      <w:pPr>
        <w:spacing w:after="0" w:line="7" w:lineRule="exact"/>
        <w:rPr>
          <w:rFonts w:ascii="Times New Roman" w:cs="Times New Roman" w:eastAsia="Times New Roman" w:hAnsi="Times New Roman"/>
          <w:sz w:val="14"/>
          <w:szCs w:val="14"/>
          <w:color w:val="auto"/>
        </w:rPr>
      </w:pPr>
    </w:p>
    <w:p>
      <w:pPr>
        <w:ind w:left="1360" w:right="2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foregoing restrictions, and provided further that any such restricted stock units, options, warrants or rights are held by the lock-up party pursuant to an agreement or equity awards granted under a stock incentive plan or other equity award plan, each such agreement or plan which is described herein or (2) as a part of sales of stock that we elected to automatically have sold through an approved broker as necessary to satisfy tax withholding requirements upon the vesting of any restricted stock or restricted stock units;</w:t>
      </w:r>
    </w:p>
    <w:p>
      <w:pPr>
        <w:spacing w:after="0" w:line="4" w:lineRule="exact"/>
        <w:rPr>
          <w:rFonts w:ascii="Times New Roman" w:cs="Times New Roman" w:eastAsia="Times New Roman" w:hAnsi="Times New Roman"/>
          <w:sz w:val="14"/>
          <w:szCs w:val="14"/>
          <w:color w:val="auto"/>
        </w:rPr>
      </w:pPr>
    </w:p>
    <w:p>
      <w:pPr>
        <w:ind w:left="1360" w:right="279" w:hanging="9"/>
        <w:spacing w:after="0" w:line="251" w:lineRule="auto"/>
        <w:tabs>
          <w:tab w:leader="none" w:pos="152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merger, consolidation or other similar transaction, that is approved by our board of directors, made to all holders of our capital stock involving a change of control; provided, that, in the event that such tender offer, merger, consolidation or other similar transaction is not completed, the shares of common stock or any securities convertible into or exercisable for common stock beneficially owned by the lock-up party shall remain subject to the foregoing restrictions; (j) transfers or sales of common stock pursuant to any Rule 10b5-1 Plan that has been entered into by a lock-up party prior to the date of this prospectus supplement, provided that any filing required to be made under Section 16(a) of the Exchange Act as a result of such transfer or sale shall state that such transfer or sale is pursuant to a trading plan pursuant to Rule 10b5-1; (k) the establishment of a trading plan on behalf of a shareholder, officer or director pursuant to Rule 10b5-1 under the Exchange Act for the transfer of shares of common stock, provided that (1) such plan does not provide for the transfer of common stock during the restricted period and (2) the extent a public announcement or filing under the Exchange Act, if any, is required of or voluntarily made by or on behalf of a lock-up party or us regarding the establishment of such plan, such announcement or filing shall include a statement to the effect that no transfer of common stock may be made under such plan during the restricted period. Notwithstanding the foregoing, in the case of any transfer or distribution pursuant to clause (b) through (g), each transferee, donee or distributee will be subject to the foregoing restrictions, and provided further that in the case of any transfer or distribution pursuant to clause (c) through (g), no filings under Section 16(a) of the Exchange Act shall be required or voluntarily made.</w:t>
      </w:r>
    </w:p>
    <w:p>
      <w:pPr>
        <w:spacing w:after="0" w:line="15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Morgan Stanley &amp; Co. LLC, in its sole discretion, may release the common stock and other securities subject to the lock-up agreements described above in whole or in part at any time.</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and the underwriters have agreed to indemnify each other against certain liabilities, including liabilities under the Securities Act.</w:t>
      </w:r>
    </w:p>
    <w:p>
      <w:pPr>
        <w:spacing w:after="0" w:line="176"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4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w:t>
      </w:r>
    </w:p>
    <w:p>
      <w:pPr>
        <w:spacing w:after="0" w:line="68" w:lineRule="exact"/>
        <w:rPr>
          <w:sz w:val="20"/>
          <w:szCs w:val="20"/>
          <w:color w:val="auto"/>
        </w:rPr>
      </w:pPr>
    </w:p>
    <w:p>
      <w:pPr>
        <w:ind w:left="2100" w:hanging="412"/>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02" w:lineRule="exact"/>
        <w:rPr>
          <w:rFonts w:ascii="Times New Roman" w:cs="Times New Roman" w:eastAsia="Times New Roman" w:hAnsi="Times New Roman"/>
          <w:sz w:val="14"/>
          <w:szCs w:val="14"/>
          <w:color w:val="auto"/>
        </w:rPr>
      </w:pPr>
    </w:p>
    <w:p>
      <w:pPr>
        <w:ind w:left="2100" w:right="339" w:hanging="412"/>
        <w:spacing w:after="0" w:line="283"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of common stock shall require us or any underwriter to publish a prospectus pursuant to Article 3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Regulation or supplement a prospectus pursuant to Article 23 of the Prospectus Regulation.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14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4"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No shares of common stock have been offered or will be offered pursuant to the offering to the public in the United Kingdom, except that the shares of common stock may be offered to the public in the United Kingdom at any time:</w:t>
      </w:r>
    </w:p>
    <w:p>
      <w:pPr>
        <w:spacing w:after="0" w:line="52" w:lineRule="exact"/>
        <w:rPr>
          <w:sz w:val="20"/>
          <w:szCs w:val="20"/>
          <w:color w:val="auto"/>
        </w:rPr>
      </w:pPr>
    </w:p>
    <w:p>
      <w:pPr>
        <w:ind w:left="2100" w:right="259" w:hanging="412"/>
        <w:spacing w:after="0" w:line="283" w:lineRule="auto"/>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common stock to trading on the London Stock Exchange plc’s main market (in reliance on the exception in paragraph 6(a) of Schedule 1 to POATRs);</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in paragraph 15 of Schedule 1 to the POATRs;</w:t>
      </w:r>
    </w:p>
    <w:p>
      <w:pPr>
        <w:spacing w:after="0" w:line="102" w:lineRule="exact"/>
        <w:rPr>
          <w:rFonts w:ascii="Times New Roman" w:cs="Times New Roman" w:eastAsia="Times New Roman" w:hAnsi="Times New Roman"/>
          <w:sz w:val="14"/>
          <w:szCs w:val="14"/>
          <w:color w:val="auto"/>
        </w:rPr>
      </w:pPr>
    </w:p>
    <w:p>
      <w:pPr>
        <w:ind w:left="2100" w:right="239" w:hanging="412"/>
        <w:spacing w:after="0" w:line="283" w:lineRule="auto"/>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to the POATRs), subject to obtaining the prior consent of representatives for any such offer;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to the POATRs.</w:t>
      </w:r>
    </w:p>
    <w:p>
      <w:pPr>
        <w:spacing w:after="0" w:line="17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buy or subscribe for any shares of common stock and the expression “POATRs” means the Public Offers and Admissions to Trading Regulations 2024.</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in the United Kingdom within the meaning of the POATRs. 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jc w:val="both"/>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This prospectus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(the “FinSA”):</w:t>
      </w:r>
    </w:p>
    <w:p>
      <w:pPr>
        <w:spacing w:after="0" w:line="62" w:lineRule="exact"/>
        <w:rPr>
          <w:sz w:val="20"/>
          <w:szCs w:val="20"/>
          <w:color w:val="auto"/>
        </w:rPr>
      </w:pPr>
    </w:p>
    <w:p>
      <w:pPr>
        <w:ind w:left="2100" w:hanging="412"/>
        <w:spacing w:after="0"/>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w:t>
      </w:r>
    </w:p>
    <w:p>
      <w:pPr>
        <w:spacing w:after="0" w:line="102" w:lineRule="exact"/>
        <w:rPr>
          <w:rFonts w:ascii="Times New Roman" w:cs="Times New Roman" w:eastAsia="Times New Roman" w:hAnsi="Times New Roman"/>
          <w:sz w:val="14"/>
          <w:szCs w:val="14"/>
          <w:color w:val="auto"/>
        </w:rPr>
      </w:pPr>
    </w:p>
    <w:p>
      <w:pPr>
        <w:ind w:left="2100" w:right="699" w:hanging="412"/>
        <w:spacing w:after="0" w:line="283"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500 persons (other than professional clients as defined under the FinSA), subject to obtaining the prior consent of the representatives of the underwriters for any such offer;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176"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provided that no such offer of shares of common stock shall require us or any investment bank to publish a prospectus pursuant to Article 35 FinSA.</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shares of common stock have not been and will not be listed or admitted to trading on a trading venue in Switzerland.</w:t>
      </w:r>
    </w:p>
    <w:p>
      <w:pPr>
        <w:spacing w:after="0" w:line="176"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02" w:lineRule="exact"/>
        <w:rPr>
          <w:sz w:val="20"/>
          <w:szCs w:val="20"/>
          <w:color w:val="auto"/>
        </w:rPr>
      </w:pPr>
    </w:p>
    <w:p>
      <w:pPr>
        <w:ind w:left="2100" w:right="579" w:hanging="328"/>
        <w:spacing w:after="0" w:line="283"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51" w:lineRule="exact"/>
        <w:rPr>
          <w:rFonts w:ascii="Times New Roman" w:cs="Times New Roman" w:eastAsia="Times New Roman" w:hAnsi="Times New Roman"/>
          <w:sz w:val="14"/>
          <w:szCs w:val="14"/>
          <w:color w:val="auto"/>
        </w:rPr>
      </w:pPr>
    </w:p>
    <w:p>
      <w:pPr>
        <w:ind w:left="2100" w:right="379" w:hanging="328"/>
        <w:spacing w:after="0" w:line="267" w:lineRule="auto"/>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519" w:hanging="328"/>
        <w:spacing w:after="0" w:line="283" w:lineRule="auto"/>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(the “Exempt Investors”).</w:t>
      </w:r>
    </w:p>
    <w:p>
      <w:pPr>
        <w:spacing w:after="0" w:line="12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As any offer of shares of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4"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The shares of common stock have not been and will not be registered pursuant to Article 4, Paragraph 1 of the Financial Instruments and Exchange Act (the “FIEA”).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 in effect at the relevant time.</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w:t>
      </w:r>
    </w:p>
    <w:p>
      <w:pPr>
        <w:spacing w:after="0" w:line="68" w:lineRule="exact"/>
        <w:rPr>
          <w:sz w:val="20"/>
          <w:szCs w:val="20"/>
          <w:color w:val="auto"/>
        </w:rPr>
      </w:pPr>
    </w:p>
    <w:p>
      <w:pPr>
        <w:ind w:left="2100" w:right="259" w:hanging="412"/>
        <w:spacing w:after="0" w:line="283" w:lineRule="auto"/>
        <w:tabs>
          <w:tab w:leader="none" w:pos="21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 (Chapter 289) of Singapore, as modified or amended from time to time) (the “SFA”) pursuant to Section 274 of the SFA;</w:t>
      </w:r>
    </w:p>
    <w:p>
      <w:pPr>
        <w:spacing w:after="0" w:line="51" w:lineRule="exact"/>
        <w:rPr>
          <w:rFonts w:ascii="Times New Roman" w:cs="Times New Roman" w:eastAsia="Times New Roman" w:hAnsi="Times New Roman"/>
          <w:sz w:val="14"/>
          <w:szCs w:val="14"/>
          <w:color w:val="auto"/>
        </w:rPr>
      </w:pPr>
    </w:p>
    <w:p>
      <w:pPr>
        <w:ind w:left="2100" w:right="939" w:hanging="412"/>
        <w:spacing w:after="0" w:line="283" w:lineRule="auto"/>
        <w:tabs>
          <w:tab w:leader="none" w:pos="21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Times New Roman" w:cs="Times New Roman" w:eastAsia="Times New Roman" w:hAnsi="Times New Roman"/>
          <w:sz w:val="14"/>
          <w:szCs w:val="14"/>
          <w:color w:val="auto"/>
        </w:rPr>
      </w:pPr>
    </w:p>
    <w:p>
      <w:pPr>
        <w:ind w:left="2100" w:right="379" w:hanging="412"/>
        <w:spacing w:after="0" w:line="283" w:lineRule="auto"/>
        <w:tabs>
          <w:tab w:leader="none" w:pos="21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 Where the shares of common stock are subscribed or purchased under Section 275 of the SFA by a relevant person which is:</w:t>
      </w:r>
    </w:p>
    <w:p>
      <w:pPr>
        <w:spacing w:after="0" w:line="51" w:lineRule="exact"/>
        <w:rPr>
          <w:rFonts w:ascii="Times New Roman" w:cs="Times New Roman" w:eastAsia="Times New Roman" w:hAnsi="Times New Roman"/>
          <w:sz w:val="14"/>
          <w:szCs w:val="14"/>
          <w:color w:val="auto"/>
        </w:rPr>
      </w:pPr>
    </w:p>
    <w:p>
      <w:pPr>
        <w:ind w:left="2460" w:right="439" w:hanging="341"/>
        <w:spacing w:after="0" w:line="283" w:lineRule="auto"/>
        <w:tabs>
          <w:tab w:leader="none" w:pos="24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right="299" w:hanging="341"/>
        <w:spacing w:after="0" w:line="259" w:lineRule="auto"/>
        <w:tabs>
          <w:tab w:leader="none" w:pos="2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67" w:lineRule="exact"/>
        <w:rPr>
          <w:rFonts w:ascii="Times New Roman" w:cs="Times New Roman" w:eastAsia="Times New Roman" w:hAnsi="Times New Roman"/>
          <w:sz w:val="14"/>
          <w:szCs w:val="14"/>
          <w:color w:val="auto"/>
        </w:rPr>
      </w:pPr>
    </w:p>
    <w:p>
      <w:pPr>
        <w:ind w:left="2880" w:right="459" w:hanging="414"/>
        <w:spacing w:after="0" w:line="283" w:lineRule="auto"/>
        <w:tabs>
          <w:tab w:leader="none" w:pos="28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51" w:lineRule="exact"/>
        <w:rPr>
          <w:rFonts w:ascii="Times New Roman" w:cs="Times New Roman" w:eastAsia="Times New Roman" w:hAnsi="Times New Roman"/>
          <w:sz w:val="14"/>
          <w:szCs w:val="14"/>
          <w:color w:val="auto"/>
        </w:rPr>
      </w:pPr>
    </w:p>
    <w:p>
      <w:pPr>
        <w:ind w:left="2880" w:hanging="414"/>
        <w:spacing w:after="0"/>
        <w:tabs>
          <w:tab w:leader="none" w:pos="28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2" w:lineRule="exact"/>
        <w:rPr>
          <w:rFonts w:ascii="Times New Roman" w:cs="Times New Roman" w:eastAsia="Times New Roman" w:hAnsi="Times New Roman"/>
          <w:sz w:val="14"/>
          <w:szCs w:val="14"/>
          <w:color w:val="auto"/>
        </w:rPr>
      </w:pPr>
    </w:p>
    <w:p>
      <w:pPr>
        <w:ind w:left="2880" w:hanging="414"/>
        <w:spacing w:after="0"/>
        <w:tabs>
          <w:tab w:leader="none" w:pos="28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02" w:lineRule="exact"/>
        <w:rPr>
          <w:rFonts w:ascii="Times New Roman" w:cs="Times New Roman" w:eastAsia="Times New Roman" w:hAnsi="Times New Roman"/>
          <w:sz w:val="14"/>
          <w:szCs w:val="14"/>
          <w:color w:val="auto"/>
        </w:rPr>
      </w:pPr>
    </w:p>
    <w:p>
      <w:pPr>
        <w:ind w:left="2880" w:hanging="414"/>
        <w:spacing w:after="0"/>
        <w:tabs>
          <w:tab w:leader="none" w:pos="28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02" w:lineRule="exact"/>
        <w:rPr>
          <w:rFonts w:ascii="Times New Roman" w:cs="Times New Roman" w:eastAsia="Times New Roman" w:hAnsi="Times New Roman"/>
          <w:sz w:val="14"/>
          <w:szCs w:val="14"/>
          <w:color w:val="auto"/>
        </w:rPr>
      </w:pPr>
    </w:p>
    <w:p>
      <w:pPr>
        <w:ind w:left="2880" w:right="719" w:hanging="414"/>
        <w:spacing w:after="0" w:line="283" w:lineRule="auto"/>
        <w:tabs>
          <w:tab w:leader="none" w:pos="288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125"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w:t>
      </w:r>
    </w:p>
    <w:p>
      <w:pPr>
        <w:spacing w:after="0" w:line="9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4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In relation to its use in the Dubai International Financial Centre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Israel</w:t>
      </w:r>
    </w:p>
    <w:p>
      <w:pPr>
        <w:spacing w:after="0" w:line="9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This prospectus does not constitute a prospectus under the Israeli Securities Law, 5728-1968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shares of common stock have not been offered or sold and will not be offered or sold in Hong Kong, by means of any document, other than</w:t>
      </w:r>
    </w:p>
    <w:p>
      <w:pPr>
        <w:spacing w:after="0" w:line="22" w:lineRule="exact"/>
        <w:rPr>
          <w:sz w:val="20"/>
          <w:szCs w:val="20"/>
          <w:color w:val="auto"/>
        </w:rPr>
      </w:pPr>
    </w:p>
    <w:p>
      <w:pPr>
        <w:ind w:left="1360" w:right="279" w:hanging="9"/>
        <w:spacing w:after="0" w:line="252" w:lineRule="auto"/>
        <w:tabs>
          <w:tab w:leader="none" w:pos="155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“professional investors” as defined in the Securities and Futures Ordinance (Cap. 571) (the “SFO”) of Hong Kong and any rules made thereunder; or (b) in other circumstances which do not result in the document being a “prospectus” as defined in the Companies (Winding Up and Miscellaneous Provisions) Ordinance (Cap. 32) (the “CO”) of Hong Kong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validity of the shares of our common stock offered in this prospectus supplement will be passed upon for us by Gunderson Dettmer Stough Villeneuve Franklin &amp; Hachigian, LLP, Redwood City, California. Davis Polk &amp; Wardwell LLP, New York, New York, is acting as counsel for the underwriters in connection with this offering.</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have been audited by Deloitte &amp; Touche LLP, an independent registered public accounting firm, as stated in their report. Such financial statements are incorporated in reliance upon the report of such firm given their authority as experts in accounting and auditing.</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https://www.aeva.com. Information accessible on or through our website is not incorporated herein or a part of this prospectus.</w:t>
      </w:r>
    </w:p>
    <w:p>
      <w:pPr>
        <w:spacing w:after="0" w:line="13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https://www.aeva.com.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or the accompanying prospectus.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8"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68" w:lineRule="exact"/>
        <w:rPr>
          <w:sz w:val="20"/>
          <w:szCs w:val="20"/>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20, 2026;</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Definitive Proxy Statement on </w:t>
      </w:r>
      <w:hyperlink r:id="rId50">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29, 2026, that are incorporated by reference into Part III of our Annual Report on Form 10-K for the year ended December 31, 2025;</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1">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period ended March 31, 2026 filed with the SEC on May 8, 2026;</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52">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June 1, 2026; and</w:t>
      </w:r>
    </w:p>
    <w:p>
      <w:pPr>
        <w:spacing w:after="0" w:line="10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in </w:t>
      </w:r>
      <w:hyperlink r:id="rId53">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year ended December 31, 2024, filed with the SEC on March 20, 2025, and any other amendment or report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1" w:lineRule="exact"/>
        <w:rPr>
          <w:rFonts w:ascii="Times New Roman" w:cs="Times New Roman" w:eastAsia="Times New Roman" w:hAnsi="Times New Roman"/>
          <w:sz w:val="14"/>
          <w:szCs w:val="14"/>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This prospectus supplement may contain information that updates, modifies or is contrary to information in one or more of the documents incorporated by reference in this prospectus supplement.</w:t>
      </w:r>
    </w:p>
    <w:p>
      <w:pPr>
        <w:spacing w:after="0" w:line="125" w:lineRule="exact"/>
        <w:rPr>
          <w:rFonts w:ascii="Times New Roman" w:cs="Times New Roman" w:eastAsia="Times New Roman" w:hAnsi="Times New Roman"/>
          <w:sz w:val="14"/>
          <w:szCs w:val="14"/>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have not, and the underwriters have not, authorized anyone to provide you with information, or to make any representation, different from that contained or incorporated by reference in this prospectus supplement and the accompanying prospectus, along with the information contained in any free writing prospectus that we have authorized for use in connection with this offering. We and the underwriters take no responsibility for, and can provide no assurance as to the reliability of, any other information that others may give you. You should not assume that the information in this prospectus supplement is accurate as of any date other than the date of this prospectus supplement or the date of the documents incorporated by reference in this prospectus supplement.</w:t>
      </w:r>
    </w:p>
    <w:p>
      <w:pPr>
        <w:spacing w:after="0" w:line="144" w:lineRule="exact"/>
        <w:rPr>
          <w:rFonts w:ascii="Times New Roman" w:cs="Times New Roman" w:eastAsia="Times New Roman" w:hAnsi="Times New Roman"/>
          <w:sz w:val="14"/>
          <w:szCs w:val="14"/>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 You should direct any requests for documents to:</w:t>
      </w:r>
    </w:p>
    <w:p>
      <w:pPr>
        <w:spacing w:after="0" w:line="5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Aeva Technologies, Inc.</w:t>
      </w:r>
    </w:p>
    <w:p>
      <w:pPr>
        <w:spacing w:after="0" w:line="2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555 Ellis Street</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Mountain View, CA 94043</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(650) 481-7070</w:t>
      </w:r>
    </w:p>
    <w:p>
      <w:pPr>
        <w:spacing w:after="0" w:line="10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75565</wp:posOffset>
            </wp:positionV>
            <wp:extent cx="868680" cy="1176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868680" cy="117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120"/>
        <w:spacing w:after="0" w:line="232" w:lineRule="auto"/>
        <w:rPr>
          <w:sz w:val="20"/>
          <w:szCs w:val="20"/>
          <w:color w:val="auto"/>
        </w:rPr>
      </w:pPr>
      <w:r>
        <w:rPr>
          <w:rFonts w:ascii="Times New Roman" w:cs="Times New Roman" w:eastAsia="Times New Roman" w:hAnsi="Times New Roman"/>
          <w:sz w:val="17"/>
          <w:szCs w:val="17"/>
          <w:b w:val="1"/>
          <w:bCs w:val="1"/>
          <w:color w:val="auto"/>
        </w:rPr>
        <w:t>Debt Securities</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Up to 3,509,719 shares of common stock offered by the selling stockholder</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Shares of common stock offered by additional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130810</wp:posOffset>
            </wp:positionV>
            <wp:extent cx="114935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70" w:lineRule="exact"/>
        <w:rPr>
          <w:sz w:val="20"/>
          <w:szCs w:val="20"/>
          <w:color w:val="auto"/>
        </w:rPr>
      </w:pPr>
    </w:p>
    <w:p>
      <w:pPr>
        <w:ind w:left="1360" w:right="299"/>
        <w:spacing w:after="0" w:line="265" w:lineRule="auto"/>
        <w:rPr>
          <w:sz w:val="20"/>
          <w:szCs w:val="20"/>
          <w:color w:val="auto"/>
        </w:rPr>
      </w:pPr>
      <w:r>
        <w:rPr>
          <w:rFonts w:ascii="Times New Roman" w:cs="Times New Roman" w:eastAsia="Times New Roman" w:hAnsi="Times New Roman"/>
          <w:sz w:val="13"/>
          <w:szCs w:val="13"/>
          <w:color w:val="auto"/>
        </w:rPr>
        <w:t>We may offer and sell from time to time, in one or more offerings, in amounts, at prices and on terms determined at the time of any such offering, (1) shares of our common stock, (2) shares of our preferred stock, which we may issue in one or more series, (3) debt securities, which may be senior debt securities or subordinated debt securities, or (4) warrants to purchase our common stock.</w:t>
      </w:r>
    </w:p>
    <w:p>
      <w:pPr>
        <w:spacing w:after="0" w:line="62"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3"/>
          <w:szCs w:val="13"/>
          <w:color w:val="auto"/>
        </w:rPr>
        <w:t>In addition, this prospectus relates to the offer and potential resale from time to time of (1) up to 3,509,719 shares of our common stock (the “resale shares”) held by a selling stockholder (together with its permitted transferees, the “selling stockholder”) in amounts, at prices, and on terms that will be determined at the time of the applicable offering and (2) shares of our common stock held by selling stockholders to be named later (the “additional selling stockholders”). The selling stockholder acquired the resale shares from us pursuant to a subscription agreement dated May 13, 2025. We issued the resale shares to the selling stockholder in reliance upon the exemption from registration afforded by Section 4(a)(2) of the Securities Act of 1933, as amended (the “Securities Act”). Our registration of the shares offered by the selling stockholder or any additional selling stockholder does not mean that such selling stockholder or additional selling stockholder will offer or sell any shares of our common stock. We will not receive any of the proceeds from the sale of our common stock by the selling stockholder or any additional selling stockholder. The selling stockholder and any additional selling stockholder will bear all discounts, concessions, commissions and stock transfer taxes, if any, attributable to its sales of shares of our common stock.</w:t>
      </w:r>
    </w:p>
    <w:p>
      <w:pPr>
        <w:spacing w:after="0" w:line="70"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3"/>
          <w:szCs w:val="13"/>
          <w:color w:val="auto"/>
        </w:rPr>
        <w:t>Each time we or any additional selling stockholders sell shares of our common stock, we or such additional selling stockholders will provide the specific terms of the offering, and, if applicable, the additional selling stockholders, in a supplement to this prospectus. This prospectus provides you with a general description of the securities we may offer. The securities may be offered by us at prices and on terms determined at the time of offering. We may also authorize one or more free writing prospectuses to be provided to you in connection with such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and therein, before you invest in the securities described in this prospectus.</w:t>
      </w:r>
    </w:p>
    <w:p>
      <w:pPr>
        <w:spacing w:after="0" w:line="67"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3"/>
          <w:szCs w:val="13"/>
          <w:color w:val="auto"/>
        </w:rPr>
        <w:t>We, the selling stockholder or any additional selling stockholder may offer and sell the securities described in this prospectus and any prospectus supplement separately or together sale through underwriters, dealers or agents, or directly to purchasers, or through a combination of these methods. See “Plan of Distribution” beginning on page 8 of this prospectus. If any underwriters, dealers or agents are involved in the sale of these securities we will set forth their names and describe their compensation in the applicable prospectus supplement.</w:t>
      </w:r>
    </w:p>
    <w:p>
      <w:pPr>
        <w:spacing w:after="0" w:line="65" w:lineRule="exact"/>
        <w:rPr>
          <w:sz w:val="20"/>
          <w:szCs w:val="20"/>
          <w:color w:val="auto"/>
        </w:rPr>
      </w:pPr>
    </w:p>
    <w:p>
      <w:pPr>
        <w:ind w:left="1360" w:right="239"/>
        <w:spacing w:after="0" w:line="277" w:lineRule="auto"/>
        <w:rPr>
          <w:sz w:val="20"/>
          <w:szCs w:val="20"/>
          <w:color w:val="auto"/>
        </w:rPr>
      </w:pPr>
      <w:r>
        <w:rPr>
          <w:rFonts w:ascii="Times New Roman" w:cs="Times New Roman" w:eastAsia="Times New Roman" w:hAnsi="Times New Roman"/>
          <w:sz w:val="13"/>
          <w:szCs w:val="13"/>
          <w:color w:val="auto"/>
        </w:rPr>
        <w:t>Our common stock, $0.0001 par value per share, is listed on The Nasdaq Global Select Market (“Nasdaq”) under the symbol “AEVA.” On June 2, 2026, the closing price of our common stock was $27.76 per share.</w:t>
      </w:r>
    </w:p>
    <w:p>
      <w:pPr>
        <w:spacing w:after="0" w:line="49"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section of this prospectus captioned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5, as well as in any applicable prospectus supplement and in our Securities and Exchange Commission (“SEC”) filings that are incorporated by reference herein.</w:t>
      </w:r>
    </w:p>
    <w:p>
      <w:pPr>
        <w:spacing w:after="0" w:line="41" w:lineRule="exact"/>
        <w:rPr>
          <w:sz w:val="20"/>
          <w:szCs w:val="20"/>
          <w:color w:val="auto"/>
        </w:rPr>
      </w:pPr>
    </w:p>
    <w:p>
      <w:pPr>
        <w:ind w:left="1360" w:right="599"/>
        <w:spacing w:after="0" w:line="28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107315</wp:posOffset>
            </wp:positionV>
            <wp:extent cx="11493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This prospectus may not be used to sell securities unless accompanied by a prospectus supplement.</w:t>
      </w:r>
    </w:p>
    <w:p>
      <w:pPr>
        <w:spacing w:after="0" w:line="9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The date of this prospectus is June 3, 2026</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5"/>
        </w:trPr>
        <w:tc>
          <w:tcPr>
            <w:tcW w:w="302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260" w:type="dxa"/>
            <w:vAlign w:val="bottom"/>
            <w:vMerge w:val="restart"/>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3020" w:type="dxa"/>
            <w:vAlign w:val="bottom"/>
            <w:tcBorders>
              <w:bottom w:val="single" w:sz="8" w:color="0000EE"/>
            </w:tcBorders>
            <w:gridSpan w:val="16"/>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About This Prospectus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7"/>
              </w:rPr>
              <w:t>Aeva Technologies, Inc.</w:t>
            </w:r>
          </w:p>
        </w:tc>
        <w:tc>
          <w:tcPr>
            <w:tcW w:w="1920" w:type="dxa"/>
            <w:vAlign w:val="bottom"/>
            <w:gridSpan w:val="8"/>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2580" w:type="dxa"/>
            <w:vAlign w:val="bottom"/>
            <w:gridSpan w:val="15"/>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80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9"/>
              </w:rPr>
              <w:t>Additional Selling Stockholders</w:t>
            </w:r>
          </w:p>
        </w:tc>
        <w:tc>
          <w:tcPr>
            <w:tcW w:w="1480" w:type="dxa"/>
            <w:vAlign w:val="bottom"/>
            <w:gridSpan w:val="3"/>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8"/>
              </w:rPr>
              <w:t>Plan of Distribution</w:t>
            </w:r>
          </w:p>
        </w:tc>
        <w:tc>
          <w:tcPr>
            <w:tcW w:w="2160" w:type="dxa"/>
            <w:vAlign w:val="bottom"/>
            <w:gridSpan w:val="11"/>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32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1680" w:type="dxa"/>
            <w:vAlign w:val="bottom"/>
            <w:gridSpan w:val="5"/>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1580" w:type="dxa"/>
            <w:vAlign w:val="bottom"/>
            <w:gridSpan w:val="4"/>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1940" w:type="dxa"/>
            <w:vAlign w:val="bottom"/>
            <w:gridSpan w:val="9"/>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32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Selling Stockholder</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2180" w:type="dxa"/>
            <w:vAlign w:val="bottom"/>
            <w:gridSpan w:val="12"/>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42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3"/>
              </w:rPr>
              <w:t>Experts</w:t>
            </w:r>
          </w:p>
        </w:tc>
        <w:tc>
          <w:tcPr>
            <w:tcW w:w="2860" w:type="dxa"/>
            <w:vAlign w:val="bottom"/>
            <w:gridSpan w:val="16"/>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32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4"/>
          </w:tcPr>
          <w:p>
            <w:pPr>
              <w:spacing w:after="0"/>
              <w:rPr>
                <w:sz w:val="12"/>
                <w:szCs w:val="12"/>
                <w:color w:val="auto"/>
              </w:rPr>
            </w:pPr>
          </w:p>
        </w:tc>
        <w:tc>
          <w:tcPr>
            <w:tcW w:w="1060" w:type="dxa"/>
            <w:vAlign w:val="bottom"/>
            <w:gridSpan w:val="2"/>
          </w:tcPr>
          <w:p>
            <w:pPr>
              <w:spacing w:after="0"/>
              <w:rPr>
                <w:sz w:val="12"/>
                <w:szCs w:val="12"/>
                <w:color w:val="auto"/>
              </w:rPr>
            </w:pPr>
          </w:p>
        </w:tc>
        <w:tc>
          <w:tcPr>
            <w:tcW w:w="52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contained in this prospectus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history of losses, and limited sales; the risk our programs are not fully developed and commercialized, or if such programs experience significant delays; our limited operating history; the risk that our strategic initiatives designed to grow our business, including our selection by a top European passenger original equipment manufacturer and our strategic collaboration with LG Innotek Co., Ltd., may not be successful or may prove more costly than we currently anticipate; the risk our products are not selected for inclusion in development programs for assisted driving systems or autonomous driving systems , industrial automation, consumer device, robotics and security applications, or are not adopted by customers; the lengthy period of time from a design win to implementation, and the risks of cancellation or postponement of the contract or unsuccessful implementation; the risk our forward looking estimates of certain financial metrics, including but not limited to Order Book, may prove inaccurate; the risk that we may be unable to effectively manage our supply chain; the risk that the complexity of our products could result in unforeseen delays or expenses from undetected defects, errors or reliability issues in hardware or software which could reduce the market adoption of new products, damage our reputation with current or prospective customers, expose Aeva to product liability and other claims and adversely affect our operating costs; continued pricing pressures, automotive original equipment manufacturer (“OEM”) cost reduction initiatives and the ability of automotive OEMs to re-source or cancel vehicle or technology programs; the risks relating to incurring substantial R&amp;D costs and devoting significant resources to identifying and commercializing new products; uncertainty related to the market adoption of LiDAR, including Aeva’s 4D LiDAR technology; the risk our transition to an outsourced manufacturing business model may not be successful; risks related to product liability or warranty claims that could result in significant direct or indirect costs to us; the risk of our high dependence on the services of Soroush Salehian Dardashti and Mina Rezk, our two founders; the potential interruption or failure of our information technology and communication systems and cybersecurity risks to our operational systems, security systems, infrastructure, integrated software in our LiDAR solutions and those risks described under “Risk Factors” of this prospectus, any prospectus supplement that we may file, and in any Annual Report on Form 10-K and any Quarterly Report on Form 10-Q incorporated by reference in this prospectus or any prospectus supplement.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47"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The forward-looking statements contained in this prospectus, any prospectus supplement, the information incorporated by reference in this prospectus or any prospectus supplement, or any free writing prospectus we may authorize are based on information currently available to us and expectations and assumptions that we deem reasonable at the time the statements were made. We do not undertake any obligation to update any forward-looking statements in this prospectus, any prospectus supplement, including the information incorporated by reference in this prospectus or any prospectus supplement, any free writing prospectus we may authorize or in any of our other communications,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except as required by law. Such forward-looking statements are subject to risks, uncertainties (some of which are beyond our control)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may offer and sell any combination of the securities described in this prospectus from time to time in one or more offerings, and the additional selling stockholders to be named in a supplement to this prospectus may offer and sell shares of our common stock from time to time in one or more offerings as described in this prospectus. The selling stockholder may use the shelf registration to sell up to 3,509,719 shares of common stock from time to time through any means described in the section titled “Plan of Distribution.”</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(as supplemented and amended), including the information incorporated by reference, or any free writing prospectus we may authorize. We and/or the selling stockholder provided the information contained in the aforementioned documents only as of the date of the applicable document, and it is possible that the information, including our business, financial condition, and results of operations, may have changed since that date.</w:t>
      </w:r>
    </w:p>
    <w:p>
      <w:pPr>
        <w:spacing w:after="0" w:line="141"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This prospectus only provides you with a general description of the securities that we, the selling stockholder and/or any additional selling stockholder may offer. Each time we and/or any additional selling stockholder sell securities pursuant to this prospectus, we and/or such additional selling stockholder will provide a prospectus supplement that contains specific information about the terms of the offering, including the specific amounts and prices of the securities offered. In addition, the prospectus supplement may also add, update or change the information contained in this prospectus. If this prospectus is inconsistent with the prospectus supplement, you should rely upon the prospectus supplement.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urge you to read carefully this prospectus (as supplemented and amended) before deciding whether to purchase the common stock being offered.</w:t>
      </w:r>
    </w:p>
    <w:p>
      <w:pPr>
        <w:spacing w:after="0" w:line="17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b w:val="1"/>
          <w:bCs w:val="1"/>
          <w:color w:val="auto"/>
        </w:rPr>
        <w:t>Neither we or the selling stockholder have authorized anyone to provide any information other than that contained or incorporated by reference in this prospectus or in any free writing prospectus prepared by or on behalf of us or to which we have referred you. Neither we nor the selling stockholder take any responsibility for, and can provide no assurance as to the reliability of, any other information that others may give you. Neither we nor the selling stockholder are making an offer of our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42" w:lineRule="exact"/>
        <w:rPr>
          <w:sz w:val="20"/>
          <w:szCs w:val="20"/>
          <w:color w:val="auto"/>
        </w:rPr>
      </w:pPr>
    </w:p>
    <w:p>
      <w:pPr>
        <w:jc w:val="center"/>
        <w:ind w:left="1360" w:right="300"/>
        <w:spacing w:after="0" w:line="456" w:lineRule="auto"/>
        <w:rPr>
          <w:sz w:val="20"/>
          <w:szCs w:val="20"/>
          <w:color w:val="auto"/>
        </w:rPr>
      </w:pPr>
      <w:r>
        <w:rPr>
          <w:rFonts w:ascii="Times New Roman" w:cs="Times New Roman" w:eastAsia="Times New Roman" w:hAnsi="Times New Roman"/>
          <w:sz w:val="14"/>
          <w:szCs w:val="14"/>
          <w:color w:val="auto"/>
        </w:rPr>
        <w:t>Unless the context otherwise requires, the terms “Aeva,” “we,” “us,” “our,” and “the Company” mean Aeva Technologies, Inc. and its subsidiaries. 3</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AEVA TECHNOLOGIES, INC.</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w:t>
      </w:r>
    </w:p>
    <w:p>
      <w:pPr>
        <w:spacing w:after="0" w:line="136" w:lineRule="exact"/>
        <w:rPr>
          <w:sz w:val="20"/>
          <w:szCs w:val="20"/>
          <w:color w:val="auto"/>
        </w:rPr>
      </w:pPr>
    </w:p>
    <w:p>
      <w:pPr>
        <w:ind w:left="1360" w:right="659"/>
        <w:spacing w:after="0" w:line="259" w:lineRule="auto"/>
        <w:rPr>
          <w:sz w:val="20"/>
          <w:szCs w:val="20"/>
          <w:color w:val="auto"/>
        </w:rPr>
      </w:pPr>
      <w:r>
        <w:rPr>
          <w:rFonts w:ascii="Times New Roman" w:cs="Times New Roman" w:eastAsia="Times New Roman" w:hAnsi="Times New Roman"/>
          <w:sz w:val="14"/>
          <w:szCs w:val="14"/>
          <w:color w:val="auto"/>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manufacturing automation and smart infrastructure, robotics and consumer devices. Our 4D LiDAR-on-chip combines silicon photonics technology that is proven in the telecom industry with precise instant velocity measurements and long-range performance for commercialization.</w:t>
      </w:r>
    </w:p>
    <w:p>
      <w:pPr>
        <w:spacing w:after="0" w:line="141" w:lineRule="exact"/>
        <w:rPr>
          <w:sz w:val="20"/>
          <w:szCs w:val="20"/>
          <w:color w:val="auto"/>
        </w:rPr>
      </w:pPr>
    </w:p>
    <w:p>
      <w:pPr>
        <w:ind w:left="1360" w:right="519"/>
        <w:spacing w:after="0" w:line="259" w:lineRule="auto"/>
        <w:rPr>
          <w:sz w:val="20"/>
          <w:szCs w:val="20"/>
          <w:color w:val="auto"/>
        </w:rPr>
      </w:pPr>
      <w:r>
        <w:rPr>
          <w:rFonts w:ascii="Times New Roman" w:cs="Times New Roman" w:eastAsia="Times New Roman" w:hAnsi="Times New Roman"/>
          <w:sz w:val="14"/>
          <w:szCs w:val="14"/>
          <w:color w:val="auto"/>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vehicles to see at significantly higher distances of up to 500 meters.</w:t>
      </w:r>
    </w:p>
    <w:p>
      <w:pPr>
        <w:spacing w:after="0" w:line="14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Aeva Technologies, Inc. was originally incorporated in Delaware as a special purpose acquisition company on August 16, 2019 under the name InterPrivate Acquisition Corp. (“IPV”). On March 12, 2021, the Company consummated a business combination (the “Business Combination”) with Aeva, Inc. In connection with the consummation of the Business Combination, the Company changed its name from IPV to Aeva Technologies, Inc. The Company’s common stock is listed on the Nasdaq Global Select Market under the symbol “AEVA”.</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Aeva is a Delaware corporation. Our principal offices are located at 555 Ellis Street, Mountain View, CA 94043, and our telephone number is (650) 481-7070. Our website address is https://www.aeva.com. Information contained on or accessible through our website is not part of this prospectus and is not incorporated by reference herein.</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above titled “Special Note Regarding Forward-Looking Statements.”</w:t>
      </w:r>
    </w:p>
    <w:p>
      <w:pPr>
        <w:spacing w:after="0" w:line="230"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by the selling stockholder or by our other existing stockholders could cause the price of our common stock to fall.</w:t>
      </w:r>
    </w:p>
    <w:p>
      <w:pPr>
        <w:spacing w:after="0" w:line="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w:t>
      </w:r>
    </w:p>
    <w:p>
      <w:pPr>
        <w:spacing w:after="0" w:line="176"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selling stockholder can sell, under this prospectus, up to 3,509,719 shares, representing approximately a 5.6% beneficial ownership interest of our common stock as of March 31, 2026. Sales of a substantial number of our shares of common stock in the public market by the selling stockholder or by our other existing securityholders, or the perception that those sales might occur, could depress the market price of our common stock and could impair our ability to raise capital through the sale of additional equity securities. We are unable to predict the effect that such sales may have on the prevailing market price of our common stock. The sale of all the securities being offered in this prospectus could result in a significant decline in the public trading price of our securities. In addition, the registration of these shares of common stock for resale creates the possibility of a significant increase in the supply of our common stock in the market. The increased supply, coupled with the potential disparity in purchase prices, may lead to heightened selling pressure, which could negatively affect the public trading price of our common stock.</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intend to use the net proceeds from the sale of securities as set forth in the applicable prospectus supplement.</w:t>
      </w:r>
    </w:p>
    <w:p>
      <w:pPr>
        <w:spacing w:after="0" w:line="176"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stockholder or any additional selling stockholder, but in certain cases we may pay fees and expenses relating to the registration or an offering of such securities, such as registration and filing fees, fees and expenses for complying with federal and state securities laws and Nasdaq rules and regulations, and fees and expenses incurred in connection with a listing, if any, of any of the securities on any securities exchange or association.</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ADDITIONAL SELLING STOCKHOLDERS</w:t>
      </w:r>
    </w:p>
    <w:p>
      <w:pPr>
        <w:spacing w:after="0" w:line="17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Additional selling stockholders are persons or entities that, directly or indirectly, have acquired, or will from time to time acquire from us, our securities. Such additional selling stockholders may be parties to registration rights agreements with us, or we otherwise may have agreed or agree to register their securities for resale. The term “additional selling stockholders” includes donees, pledgees, transferees, distributees or other successors-in-interest selling shares of our common stock or interests in our common stock received after the date of this prospectus from an additional selling stockholder as a gift, pledge, partnership distribution or other transfer.</w:t>
      </w:r>
    </w:p>
    <w:p>
      <w:pPr>
        <w:spacing w:after="0" w:line="14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Information about additional selling stockholders, where applicable, will be set forth in a prospectus supplement, in an amendment to the registration statement of which this prospectus is a part, or in filings we make with the SEC under the Exchange Act, which are incorporated by reference.</w:t>
      </w:r>
    </w:p>
    <w:p>
      <w:pPr>
        <w:spacing w:after="0" w:line="7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We may, from time to time, sell the securities offered through this prospectus in primary offerings on any stock exchange, market or trading facility on which our securities are traded or quoted or in private transactions. The selling stockholder or any additional selling stockholder may, from time to time, sell, transfer, distribute or otherwise dispose of certain of its shares of common stock or interests in our common stock on any stock exchange, market or trading facility on which shares of our common stock are traded or in private transactions. The common stock may be distributed at a fixed price or prices, which may be changed, market prices prevailing at the time of sale, prices related to the prevailing market prices, or negotiated prices.</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As used in this section, the term “selling stockholders” includes donees, pledgees, transferees, distributees or other successors-in-interest selling shares of our common stock or interests in our common stock received after the date of this prospectus from the selling stockholder or any additional selling stockholder as a gift, pledge, partnership distribution or other transfer.</w:t>
      </w:r>
    </w:p>
    <w:p>
      <w:pPr>
        <w:spacing w:after="0" w:line="13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We or the selling stockholders may use any one or more of the following methods when selling or otherwise disposing of the securities offered by this prospectus:</w:t>
      </w:r>
    </w:p>
    <w:p>
      <w:pPr>
        <w:spacing w:after="0" w:line="52" w:lineRule="exact"/>
        <w:rPr>
          <w:sz w:val="20"/>
          <w:szCs w:val="20"/>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underwritten offerings;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of common stock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their members, partners or shareholders;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of the registration statement of which this prospectus is a part is declared effective by the SEC;</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market transactions, including transactions on a national securities exchange or quotations service or over-the-counter market;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of \ common stock at a stipulated price per share;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w:t>
      </w:r>
    </w:p>
    <w:p>
      <w:pPr>
        <w:spacing w:after="0" w:line="176"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A selling stockholder that is an entity may elect to make an in-kind distribution of common stock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pursuant to the distribution effected through this registration statement.</w:t>
      </w:r>
    </w:p>
    <w:p>
      <w:pPr>
        <w:spacing w:after="0" w:line="14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Each time that we or any of the selling stockholders sell securities covered by this prospectus, we or the selling stockholders will provide a prospectus supplement or supplements that will describe the method of distribution and set forth the terms and conditions of the offering, including:</w:t>
      </w:r>
    </w:p>
    <w:p>
      <w:pPr>
        <w:spacing w:after="0" w:line="52" w:lineRule="exact"/>
        <w:rPr>
          <w:sz w:val="20"/>
          <w:szCs w:val="20"/>
          <w:color w:val="auto"/>
        </w:rPr>
      </w:pPr>
    </w:p>
    <w:p>
      <w:pPr>
        <w:ind w:left="2100" w:hanging="328"/>
        <w:spacing w:after="0"/>
        <w:tabs>
          <w:tab w:leader="none" w:pos="2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Sale through underwriters or dealers</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If underwriters are used in a sale by us or a selling stockholder,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common stock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common stock if they purchase any of them. The underwriters may change from time to time any initial public offering price and any discounts or concessions allowed or reallowed or paid to dealers. The applicable prospectus supplement will include the names of the principal underwriters, the respective amount of the securities underwritten, the nature of the obligation of the underwriters to take the securities and the nature of any material relationship between an underwriter, us and any selling stockholder.</w:t>
      </w:r>
    </w:p>
    <w:p>
      <w:pPr>
        <w:spacing w:after="0" w:line="148"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or a selling stockholder will sell the securities to them as principals. They may then resell the securities to the public at varying prices determined by the dealers at the time of resale. The applicable prospectus supplement will include the names of the dealers and the terms of the transaction.</w:t>
      </w:r>
    </w:p>
    <w:p>
      <w:pPr>
        <w:spacing w:after="0" w:line="136"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selling stockholder and any underwriters, broker-dealers or agents that participate in the sale of our securities or interests therein may be “underwriters” within the meaning of Section 2(11) of the Securities Act. Any discounts, commissions, concessions or profit they earn on any resale of shares of our securities may be underwriting discounts and commissions under the Securities Act. If a selling stockholder is an “underwriter” within the meaning of Section 2(11) of the Securities Act, then the selling stockholder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Direct sales and sales through agents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or a selling stockholder may sell the securities offered through this prospectus directly. In this case, no underwriters or agents would be involved. Such common stock may also be sold through agents designated from time to time. The applicable prospectus supplement will name any agent involved in the offer or sale of the offered securities and will describe any commissions payable to the agent by us. Unless otherwise indicated in the applicable prospectus supplement, any agent will agree to use its reasonable best efforts to solicit purchases for the period of its appointment.</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We or a selling stockholder may sell the securities directly to institutional investors or others who may be deemed to be underwriters within the meaning of the Securities Act with respect to any sale of those common stock. The terms of any such sales will be described in the applicable prospectus supplement.</w:t>
      </w:r>
    </w:p>
    <w:p>
      <w:pPr>
        <w:spacing w:after="0" w:line="136"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Selling stockholders also may resell a portion of our common stock in open market transactions in reliance upon Rule 144 under the Securities Act, provided that they meet the criteria and we and they conform to the requirements of that rule, or pursuant to other available exemptions from the registration requirements of the Securities Act.</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Selling stockholders may, from time to time, pledge or grant a security interest in some shares of our common stock owned by them and, if a selling stockholder defaults in the performance of its secured obligations, the pledgees or secured parties may offer and sell such shares of common stock from time to time, under this prospectus, or under an amendment or supplement to this prospectus amending the list of the selling stockholders to include the pledgee, transferee or other successors in interest as the selling stockholders under this prospectus. The selling stockholders also may transfer shares of our common stock in other circumstances, in which case the transferees, pledgees or other successors in interest will be the selling beneficial owners for purposes of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Delayed delivery contracts</w:t>
      </w:r>
    </w:p>
    <w:p>
      <w:pPr>
        <w:spacing w:after="0" w:line="94" w:lineRule="exact"/>
        <w:rPr>
          <w:sz w:val="20"/>
          <w:szCs w:val="20"/>
          <w:color w:val="auto"/>
        </w:rPr>
      </w:pPr>
    </w:p>
    <w:p>
      <w:pPr>
        <w:jc w:val="both"/>
        <w:ind w:left="1360" w:right="219"/>
        <w:spacing w:after="0" w:line="261" w:lineRule="auto"/>
        <w:rPr>
          <w:sz w:val="20"/>
          <w:szCs w:val="20"/>
          <w:color w:val="auto"/>
        </w:rPr>
      </w:pPr>
      <w:r>
        <w:rPr>
          <w:rFonts w:ascii="Times New Roman" w:cs="Times New Roman" w:eastAsia="Times New Roman" w:hAnsi="Times New Roman"/>
          <w:sz w:val="14"/>
          <w:szCs w:val="14"/>
          <w:color w:val="auto"/>
        </w:rPr>
        <w:t>If the applicable prospectus supplement indicates, we or a selling stockholder may authorize agents, underwriters or dealers to solicit offers from certain types of institutions to purchase common stock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Stabilization and other transactions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Any underwriter we use in the sale of offered securities may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4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Derivative transactions and hedging</w:t>
      </w:r>
    </w:p>
    <w:p>
      <w:pPr>
        <w:spacing w:after="0" w:line="9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a selling stockholder, the underwriters or other agents may engage in derivative transactions involving our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common stock to the public, including short sales, or by lending the common stock in order to facilitate short sale transactions by others. The underwriters or agents may also use the securities purchased or borrowed from us or others (or, in the case of derivatives, common stock received from us in settlement of those derivatives) to directly or indirectly settle sales of the securities or close out any related open borrowings of the securities.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Electronic auctions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41" w:lineRule="exact"/>
        <w:rPr>
          <w:sz w:val="20"/>
          <w:szCs w:val="20"/>
          <w:color w:val="auto"/>
        </w:rPr>
      </w:pPr>
    </w:p>
    <w:p>
      <w:pPr>
        <w:jc w:val="both"/>
        <w:ind w:left="1360" w:right="219"/>
        <w:spacing w:after="0" w:line="261" w:lineRule="auto"/>
        <w:rPr>
          <w:sz w:val="20"/>
          <w:szCs w:val="20"/>
          <w:color w:val="auto"/>
        </w:rPr>
      </w:pPr>
      <w:r>
        <w:rPr>
          <w:rFonts w:ascii="Times New Roman" w:cs="Times New Roman" w:eastAsia="Times New Roman" w:hAnsi="Times New Roman"/>
          <w:sz w:val="14"/>
          <w:szCs w:val="14"/>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41"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Upon completion of such an electronic auction process, securities will be allocated based on prices bid, terms of bid or other factors. The final offering price at which common stock would be sold and the allocation of common stock among bidders would be based in whole or in part on the results of the Internet or other electronic bidding process or auction.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8"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This prospectus contains a summary of our capital stock, and the preferred stock, debt securities, and warrants that may be issued in the future. These summaries are not meant to be a complete description of each security. The particular terms of any security to be issued pursuant hereto will be set forth in a related prospectus supplement. This prospectus and the accompanying prospectus supplement will contain the material terms and conditions for each security.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following summary of the material terms of our capital stock is not intended to be a complete summary of the rights and preferences of such securities. Because it is only a summary, it may not contain all the information that is important to an investor in our securities. Defined terms used and not defined herein shall have the meaning ascribed to such terms in our Annual Report on Form 10-K. We urge you to read our Second Amended and Restated Certificate of Incorporation (“Certificate of Incorporation”) in its entirety for a complete description of the rights and preferences of our capital stock.</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authorizes the issuance of 422,000,000 shares of common stock, $0.0001 par value per share and 10,000,000 shares of preferred stock, $0.0001 par value. The following description of our capital stock does not purport to be complete and is subject to, and qualified in its entirety by, our Certificate of Incorporation and amended and restated bylaws, each of which is incorporated by reference as an exhibit to our Annual Report on Form 10-K.</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Voting Power</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Preferred Stock Designation, the holders of the common stock possess all voting power for the election of our directors and all other matters submitted to a vote of stockholders of ours. Holders of the common stock have one vote in respect of each share of stock held by such holder on matters to be voted on by stockholders. Except as otherwise required by law, holders of the common stock, as such, are not be entitled to vote on any amendment to the Certificate of Incorporation (including any resolutions adopted by our Board of Directors approving the issue of preferred stock (a “Preferred Stock Designation”)) that relates solely to the rights, powers, preferences or other terms of one or more outstanding series of our preferred stock if the holders of such affected series of our preferred stock are entitled to vote on such amendment pursuant to the Certificate of Incorporation (including any Preferred Stock Designation) or pursuant to the Delaware General Corporation Law (the “DGCL”).</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4"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Subject to applicable law and the rights and preferences of any holders of any outstanding series of preferred stock of the Company, holders of the common stock are entitled to receive dividends when, as and if declared by our Board of Directors, payable either in cash, in property or in shares of capital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Liquidation, Dissolution and Winding Up</w:t>
      </w:r>
    </w:p>
    <w:p>
      <w:pPr>
        <w:spacing w:after="0" w:line="9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to any holders of our preferred stock having liquidation preferences, if any, the holders of the common stock are entitled to receive pro rata our remaining assets available for distribution.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Preemptive or Other Rights</w:t>
      </w:r>
    </w:p>
    <w:p>
      <w:pPr>
        <w:spacing w:after="0" w:line="94"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and there are no conversion, sinking fund or redemption rights, or rights to subscribe for any of our securities. The rights, powers, preferences and privileges of holders of the common stock are subject to those of the holders of any shares of our preferred stock that our Board of Directors may authorize and issue in the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Election of Directors</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Our Board of Directors is divided into three classes, each of which generally serve for a term of three years with only one class of directors being elected in each year. There is no cumulative voting with respect to the election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directors, with the result that the holders of more than 50% of the shares voted for the election of directors can elect all of the directors.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provides that our Board of Directors is divided into three classes of directors, with the classes to be as nearly equal in number as possible, and with each director serving a three-year term. As a result, approximately one-third of our Board of Directors is elected each year. The classification of directors has the effect of making it more difficult for stockholders to change the composition of our Board of Directors.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Stockholder Action; Special Meetings of Stockholders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Our Certificate of Incorporation provides that stockholders may not take action by written consent, but may only take action at annual or special meetings of stockholders. As a result, a holder controlling a majority of our capital stock would not be able to amend our Bylaws or remove directors without holding a meeting of stockholders called in accordance with our Bylaws. This restriction does not apply to actions taken by the holders of any series of preferred stock of ours to the extent expressly provided in the applicable Preferred Stock Designation. Further, our Certificate of Incorporation provides that, subject to any special rights of the holders of preferred stock, only our Board of Directors, the chairperson of our Board of Directors or the chief executive officer of the Company’s may call special meetings of stockholders, thus prohibiting a holder of our common stock from calling a special meeting. These provisions might delay the ability of stockholders to force consideration of a proposal or for stockholders controlling a majority of our capital stock to take any action, including the removal of directors.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94"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Our Bylaws provide that stockholders seeking to bring business before our annual meeting of stockholders, or to nominate candidates for election as directors at its annual meeting of stockholders, must provide timely notice. To be timely, a stockholder’s notice will need to be delivered to, or mailed and received at, our principal executive offices not less than 90 days nor more than 120 days prior to the one-year anniversary of the preceding year’s annual meeting, except in the case of a special meeting to nominate candidates for election as directors, timely notice shall not less than the later of 90 days prior to the special meeting or the 10th day following the day on which public disclosure of the date of the special meeting is first made by us). In the event that the date of the annual meeting is more than 30 days before or more than 60 days after such anniversary date, to be timely, a stockholder’s notice must be so delivered, or mailed and received, not later than the 90th day prior to such annual meeting or, if later, the 10th day following the day on which public disclosure of the date of such annual meeting was first made by us. Our Bylaws also specify certain requirements as to the form and content of a stockholders’ notice. These provisions may preclude our stockholders from bringing matters before its annual meeting of stockholders or from making nominations for directors at its annual meeting of stockholders.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Amendment of Charter or Bylaws</w:t>
      </w:r>
    </w:p>
    <w:p>
      <w:pPr>
        <w:spacing w:after="0" w:line="2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Our Bylaws may be amended or repealed by our Board of Directors or by the affirmative vote of the holders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of the voting power of all of the shares of our capital stock entitled to vote in the election 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167" w:lineRule="exact"/>
        <w:rPr>
          <w:sz w:val="20"/>
          <w:szCs w:val="20"/>
          <w:color w:val="auto"/>
        </w:rPr>
      </w:pPr>
    </w:p>
    <w:p>
      <w:pPr>
        <w:ind w:left="1360" w:right="319"/>
        <w:spacing w:after="0" w:line="264" w:lineRule="auto"/>
        <w:rPr>
          <w:sz w:val="20"/>
          <w:szCs w:val="20"/>
          <w:color w:val="auto"/>
        </w:rPr>
      </w:pPr>
      <w:r>
        <w:rPr>
          <w:rFonts w:ascii="Times New Roman" w:cs="Times New Roman" w:eastAsia="Times New Roman" w:hAnsi="Times New Roman"/>
          <w:sz w:val="14"/>
          <w:szCs w:val="14"/>
          <w:color w:val="auto"/>
        </w:rPr>
        <w:t>directors, voting as one class. The affirmative vote of the holders of at least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4"/>
          <w:szCs w:val="14"/>
          <w:color w:val="auto"/>
        </w:rPr>
        <w:t>% of the voting power of the then outstanding shares of our capital stock entitled to vote generally in the election of directors, voting together as a single class, is required to amend certain provisions of our Certificate of Incorporation.</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Board Vacancies</w:t>
      </w:r>
    </w:p>
    <w:p>
      <w:pPr>
        <w:spacing w:after="0" w:line="9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Any vacancy on our Board of Directors may be filled by a majority vote of the directors then in office, although less than a quorum, or by a sole remaining director, subject to any special rights of the holders of preferred stock. Any director chosen to fill a vacancy will hold office until the expiration of the term of the class for which he or she was elected and until his or her successor is duly elected and qualified or until their earlier resignation, removal from office, death or incapacity. Except as otherwise provided by law, the Stockholders Agreement or our Bylaws, in the event of a vacancy in our Board of Directors, the remaining directors may exercise the powers of our full Board of Directors until the vacancy is filled.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Exclusive Forum Selection</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unless we consent in writing to the selection of an alternative forum, the Court of Chancery of the State of Delaware will, to the fullest extent permitted by applicable law, be the sole and exclusive forum for: (i) any derivative action brought by a stockholder on our behalf, (ii) any action asserting a claim of breach of a fiduciary duty owed by any of our directors, officers or stockholders, (iii) any action arising under our Certificate of Incorporation, our Bylaws or the DGCL or (iv) any action asserting a claim against us governed by the internal affairs doctrine. Any person or entity purchasing or otherwise acquiring any interest in shares of our capital stock is deemed to have notice of and consented to the exclusive forum provisions in the Certificate of Incorporation. In addition, the Certificate of Incorporation designates the federal district courts of the United States of America as the exclusive forum for the resolution of any complaint asserting a cause of action arising under the Securities Act.</w:t>
      </w:r>
    </w:p>
    <w:p>
      <w:pPr>
        <w:spacing w:after="0" w:line="14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Section 27 of the Exchange Act creates exclusive federal jurisdiction over all suits brought to enforce any duty or liability created by the Exchange Act or the rules and regulations thereunder. As a result, the exclusive forum provision in the Certificate of Incorporation will not apply to suits brought to enforce any duty or liability created by the Exchange Act or any other claim for which the federal courts have exclusive jurisdiction.</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Although we believe these provisions benefit us by providing increased consistency in the application of Delaware law in the types of lawsuits to which it applies, a court may determine that these provisions are unenforceable, and to the extent they are enforceable, the provisions may have the effect of discouraging lawsuits against our directors and officers, although our stockholders shall not be deemed to have waived its compliance with federal securities laws and the rules and regulations thereunder.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are subject to the provisions of Section 203 of the DGCL. In general, Section 203 prohibits a Delaware corporation that is listed on a national</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securities exchange or held of record by more than 2,000 stockholders from engaging in a “business combination” with an “interested stockholder” for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three-year period following the time that such stockholder becomes an interested stockholder, unless the business combination is approved in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prescribed manner. A “business combination” includes, among other things, certain mergers, asset or stock sales or other transactions resulting in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financial benefit to the interested stockholder. An “interested stockholder” is a person who, together with affiliates and associates, owns, or did own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within three years prior to the determination of interested stockholder status, 15% or more of the corporation’s outstanding voting stock. Under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203, a business combination between a corporation and an interested stockholder is prohibited unless it satisfies one of the following conditions:</w:t>
      </w:r>
    </w:p>
    <w:p>
      <w:pPr>
        <w:spacing w:after="0" w:line="87" w:lineRule="exact"/>
        <w:rPr>
          <w:sz w:val="20"/>
          <w:szCs w:val="20"/>
          <w:color w:val="auto"/>
        </w:rPr>
      </w:pPr>
    </w:p>
    <w:p>
      <w:pPr>
        <w:ind w:left="2100" w:right="25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which resulted in the stockholder becoming an interested stockholder;</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299" w:hanging="328"/>
        <w:spacing w:after="0" w:line="261"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67"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 stockholders by the affirmative vote of at least 66 2/3% of the outstanding voting stock which is not owned by the interested stockholder.</w:t>
      </w:r>
    </w:p>
    <w:p>
      <w:pPr>
        <w:spacing w:after="0" w:line="136"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Section 203 of the DGCL also may have the effect of preventing changes in our Board of Directors and may make it more difficult to accomplish transactions which stockholders may otherwise deem to be in their best interests.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 – Limitations on Rights of Holders of Common Stock</w:t>
      </w:r>
    </w:p>
    <w:p>
      <w:pPr>
        <w:spacing w:after="0" w:line="94"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Our Certificate of Incorporation provides that shares of our preferred stock may be issued from time to time in one or more series. Our Board of Directors is authorized to establish the voting rights, if any, designations, preferences and relative, participating, optional or other special rights of the shares of such series, and the qualifications, limitations or restrictions thereof, applicable to the shares of each series of our preferred stock. Our Board of Directors is able to, without stockholder approval, issue our preferred stock with voting and other rights that could adversely affect the voting power and other rights of the holders of our common stock and could have anti-takeover effects. The ability of our Board of Directors to issue our preferred stock without stockholder approval could have the effect of delaying, deferring or preventing a change of control of us or the removal of existing management.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common stock is currently listed on the Nasdaq Global Select Market under the symbol “AEVA”.</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Continental Stock Transfer &amp; Trust Company.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 on Liability and Indemnification of Directors and Officers</w:t>
      </w:r>
    </w:p>
    <w:p>
      <w:pPr>
        <w:spacing w:after="0" w:line="94" w:lineRule="exact"/>
        <w:rPr>
          <w:sz w:val="20"/>
          <w:szCs w:val="20"/>
          <w:color w:val="auto"/>
        </w:rPr>
      </w:pPr>
    </w:p>
    <w:p>
      <w:pPr>
        <w:jc w:val="both"/>
        <w:ind w:left="1360" w:right="419"/>
        <w:spacing w:after="0" w:line="261" w:lineRule="auto"/>
        <w:rPr>
          <w:sz w:val="20"/>
          <w:szCs w:val="20"/>
          <w:color w:val="auto"/>
        </w:rPr>
      </w:pPr>
      <w:r>
        <w:rPr>
          <w:rFonts w:ascii="Times New Roman" w:cs="Times New Roman" w:eastAsia="Times New Roman" w:hAnsi="Times New Roman"/>
          <w:sz w:val="14"/>
          <w:szCs w:val="14"/>
          <w:color w:val="auto"/>
        </w:rPr>
        <w:t>The Certificate of Incorporation provides that our directors and officers are indemnified and advanced expenses by the Company to the fullest extent authorized or permitted by the DGCL as it now exists or may in the future be amended. In addition, the Certificate of Incorporation provides that our directors will not be personally liable to the Company or its stockholders for monetary damages for breaches of their fiduciary duty as directors to the fullest extent permitted by the DGCL.</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Certificate of Incorporation also permits us to purchase and maintain insurance on behalf of any officer, director, employee or agent of ours for any liability arising out of his or her status as such, regardless of whether the DGCL would permit indemnification.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8"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have summarized below general terms and conditions of the debt securities that we may offer and sell pursuant to this prospectus. When we offer to sell a particular series of debt securities, we will describe the specific terms and conditions of the series in a prospectus supplement to this prospectus. We will also indicate in the applicable prospectus supplement whether the general terms and conditions described in this prospectus apply to the series of debt securities. The terms and conditions of the debt securities of a series may be different in one or more respects from the terms and conditions described below. If so, those differences will be described in the applicable prospectus supplement.</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We will issue the debt securities in one or more series under an indenture between us and a trustee to be selected by us. The following description of provisions of the indenture does not purport to be complete and is subject to, and qualified in its entirety by reference to, the indenture, which has been filed with the SEC as an exhibit to the registration statement of which this prospectus forms a part. A form of each debt security,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purposes of this section of this prospectus, references to “we,” “us” and “our” are to Aeva Technologies, Inc. and not to any of its subsidiaries.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60" w:right="419"/>
        <w:spacing w:after="0" w:line="259" w:lineRule="auto"/>
        <w:rPr>
          <w:sz w:val="20"/>
          <w:szCs w:val="20"/>
          <w:color w:val="auto"/>
        </w:rPr>
      </w:pPr>
      <w:r>
        <w:rPr>
          <w:rFonts w:ascii="Times New Roman" w:cs="Times New Roman" w:eastAsia="Times New Roman" w:hAnsi="Times New Roman"/>
          <w:sz w:val="14"/>
          <w:szCs w:val="14"/>
          <w:color w:val="auto"/>
        </w:rPr>
        <w:t>We may issue, from time to time, debt securities, in one or more series, that will consist of either senior debt (“Senior Debt Securities”), senior subordinated debt (“Senior Subordinated Debt Securities”), subordinated debt (“Subordinated Debt Securities”) or junior subordinated debt (“Junior Subordinated Debt Securities” and, together with the Senior Subordinated Debt Securities and the Subordinated Debt Securities, the “Subordinated Securities”). Debt securities, whether senior, senior subordinated, subordinated or junior subordinated, may be issued as convertible debt securities or exchangeable debt securities.</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We may, without the consent of the holders of the debt securities of any series, issue additional debt securities ranking equally with, and otherwise similar in all respects to, the debt securities of the series (except for any differences in the issue price and, if applicable, the initial interest accrual date and interest payment date) so that those additional debt securities will be consolidated and form a single series with the debt securities of the series previously offered and sold; provided that if the additional debt securities are not fungible with the debt securities of the series previously offered or sold for U.S. federal income tax purposes, the additional debt securities will have a separate CUSIP or other identifying number.</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indenture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Provisions of the Indenture</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applicable prospectus supplement for a series of debt securities that we issue will describe, among other things, the following terms of the offered debt securities:</w:t>
      </w:r>
    </w:p>
    <w:p>
      <w:pPr>
        <w:spacing w:after="0" w:line="52" w:lineRule="exact"/>
        <w:rPr>
          <w:sz w:val="20"/>
          <w:szCs w:val="20"/>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debt securities will be issued;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debt securities of such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of payment of principal or interest;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is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and the date or dates from which interest, if any, will accrue, and the date or dates when interest is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the extensions;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 or record dates for determining to whom interest is payable;</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and the manner in which principal, premium or interest will be payable and the place or places where the debt securities may be presented for transfer and, if applicable, conversion or exchange;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rights or obligations to redeem or purchase the debt securities, including sinking fund or partial redemption payments;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pursuant to which any debt securities will be subordinate to any of our other debt;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of the debt securities when issued, the portion of the principal amount payable upon acceleration of maturity as a result of an Event of Default (as defined herein);</w:t>
      </w:r>
    </w:p>
    <w:p>
      <w:pPr>
        <w:spacing w:after="0" w:line="51"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applicable to any debt securities issued at a discount from their stated principal amount;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remarketing of the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Events of Default applicable to any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covenants affording holders of debt protection with respect to our operations, financial condition or transactions involving us;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provisions, if any, including conversion or exchange prices or rates and adjustments thereto;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any debt securities.</w:t>
      </w:r>
    </w:p>
    <w:p>
      <w:pPr>
        <w:spacing w:after="0" w:line="17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2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Senior Debt Securities</w:t>
      </w:r>
    </w:p>
    <w:p>
      <w:pPr>
        <w:spacing w:after="0" w:line="94"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Senior Debt Securities will rank on a parity with all of our other unsecured and unsubordinated debt.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Senior Subordinated Debt Securities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applicable prospectus supplement limitations, if any, on issuance of additional debt ranking senior to the Senior Subordinated Debt Securities.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Subordinated Debt Securities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Subordinated Debt Securities will be subordinated and junior in right of payment to the prior payment in full of all of our unsubordinated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debt ranking senior to the Subordinated Debt Securities.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Junior Subordinated Debt Securities</w:t>
      </w:r>
    </w:p>
    <w:p>
      <w:pPr>
        <w:spacing w:after="0" w:line="9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Payment of the principal of, and premium, if any, and interest on, Junior Subordinated Debt Securities will be subordinated and junior in right of payment to the prior payment in full of all of our unsubordinated,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ranking senior to the Junior Subordinated Debt Securities.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Debt securities may be convertible into or exchangeable for other securities or property of us. The terms and conditions of conversion or exchange will be set forth in the applicable prospectus supplement. The terms will include, among others, the following:</w:t>
      </w:r>
    </w:p>
    <w:p>
      <w:pPr>
        <w:spacing w:after="0" w:line="52" w:lineRule="exact"/>
        <w:rPr>
          <w:sz w:val="20"/>
          <w:szCs w:val="20"/>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price;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period;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the ability of us or the holder to convert or exchange the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requiring adjustment to the conversion or exchange price;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or exchange in the event of our redemption of the debt securities.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We cannot consolidate or merge with or into, or transfer or lease our properties and assets substantially as an entirety to, any person, and we shall not permit any other person to consolidate with or merge into us, unless:</w:t>
      </w:r>
    </w:p>
    <w:p>
      <w:pPr>
        <w:spacing w:after="0" w:line="52" w:lineRule="exact"/>
        <w:rPr>
          <w:sz w:val="20"/>
          <w:szCs w:val="20"/>
          <w:color w:val="auto"/>
        </w:rPr>
      </w:pPr>
    </w:p>
    <w:p>
      <w:pPr>
        <w:ind w:left="2100" w:right="499" w:hanging="328"/>
        <w:spacing w:after="0" w:line="283" w:lineRule="auto"/>
        <w:tabs>
          <w:tab w:leader="none" w:pos="21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we will be the continuing corporation or (b) the successor corporation or person formed by such consolidation or into which we are merged or to which our properties and assets substantially as an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spacing w:after="0" w:line="261" w:lineRule="auto"/>
        <w:rPr>
          <w:sz w:val="20"/>
          <w:szCs w:val="20"/>
          <w:color w:val="auto"/>
        </w:rPr>
      </w:pPr>
      <w:r>
        <w:rPr>
          <w:rFonts w:ascii="Times New Roman" w:cs="Times New Roman" w:eastAsia="Times New Roman" w:hAnsi="Times New Roman"/>
          <w:sz w:val="14"/>
          <w:szCs w:val="14"/>
          <w:color w:val="auto"/>
        </w:rPr>
        <w:t>entirety are transferred or leased is a person organized or formed under the laws of the United States, any state of the United States or the District of Columbia and, if such entity is not a corporation, a co-obligor of the debt securities is a corporation organized or existing under any such laws, and such successor corporation or person, including such co-obligor, if any, expressly assumes our obligations under the debt securities and the indenture; and</w:t>
      </w:r>
    </w:p>
    <w:p>
      <w:pPr>
        <w:spacing w:after="0" w:line="68" w:lineRule="exact"/>
        <w:rPr>
          <w:sz w:val="20"/>
          <w:szCs w:val="20"/>
          <w:color w:val="auto"/>
        </w:rPr>
      </w:pPr>
    </w:p>
    <w:p>
      <w:pPr>
        <w:ind w:left="2100" w:right="259" w:hanging="328"/>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or event, which after notice or lapse of time or both would become an Event of Default, shall have occurred and be continuing.</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Subject to certain exceptions, when the person to whom our assets are transferred or leased has assumed our obligations under the debt securities and the indenture, we shall be discharged from all our obligations under the debt securities and the indenture.</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This covenant would not apply to any recapitalization transaction, a change of control of us or a highly leveraged transaction, unless the transaction or change of control were structured to include a merger or consolidation or transfer or lease of our properties and assets substantially as an entirety.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Unless otherwise indicated, the term “Event of Default,” when used in the indenture with respect to the debt securities of any series, means any of the following:</w:t>
      </w:r>
    </w:p>
    <w:p>
      <w:pPr>
        <w:spacing w:after="0" w:line="52" w:lineRule="exact"/>
        <w:rPr>
          <w:sz w:val="20"/>
          <w:szCs w:val="20"/>
          <w:color w:val="auto"/>
        </w:rPr>
      </w:pPr>
    </w:p>
    <w:p>
      <w:pPr>
        <w:ind w:left="2100" w:right="299" w:hanging="328"/>
        <w:spacing w:after="0" w:line="283"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for 30 days after the date payment on any debt security of such series is due and payable; provided that an extension of an interest payment period by us in accordance with the terms of the debt securities shall not constitute a failure to pay interest;</w:t>
      </w:r>
    </w:p>
    <w:p>
      <w:pPr>
        <w:spacing w:after="0" w:line="51" w:lineRule="exact"/>
        <w:rPr>
          <w:rFonts w:ascii="Times New Roman" w:cs="Times New Roman" w:eastAsia="Times New Roman" w:hAnsi="Times New Roman"/>
          <w:sz w:val="14"/>
          <w:szCs w:val="14"/>
          <w:color w:val="auto"/>
        </w:rPr>
      </w:pPr>
    </w:p>
    <w:p>
      <w:pPr>
        <w:ind w:left="2100" w:right="619" w:hanging="328"/>
        <w:spacing w:after="0" w:line="283"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or premium, if any, on any debt security of such series when due, either at maturity, upon any redemption, by declaration or otherwise;</w:t>
      </w:r>
    </w:p>
    <w:p>
      <w:pPr>
        <w:spacing w:after="0" w:line="51"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or the debt securities of such series for a specified period of time after written notice that performance was required, which notice must be sent by either the trustee or holders of not less than a specified percentage of the principal amount of the outstanding debt securities of such series;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us; or</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the applicable resolution of the Board or the officers’ certificate or supplemental indenture under which we issue such series of debt securities.</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indenture.</w:t>
      </w:r>
    </w:p>
    <w:p>
      <w:pPr>
        <w:spacing w:after="0" w:line="125"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If an Event of Default (other than an Event of Default relating to events of bankruptcy, insolvency or reorganization of us) involving any series of debt securities has occurred and is continuing, the trustee or the holders of a specified aggregate principal amount of the debt securities of each affected series may declare the entire principal amount of all the debt securities of such affected series, and the interest accrued thereon, if any, to be due and payable immediately. The holders of not less than a majority in aggregate principal amount of the debt securities of an affected series may, after satisfying conditions, rescind and annul any of the above-described declarations and consequences involving such series.</w:t>
      </w:r>
    </w:p>
    <w:p>
      <w:pPr>
        <w:spacing w:after="0" w:line="14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If an Event of Default relating to events of bankruptcy, insolvency or reorganization of us occurs and is continuing, then the entire principal amount of all of the debt securities outstanding, and the interest accrued thereon, if any, will automatically become due and payable immediately, without any declaration or other act by the trustee or any holder.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indenture imposes limitations on suits brought by holders of debt securities against us with respect to an Event of Default. Except as provided below, no holder of debt securities of any series may institute any action against us under the indenture unless:</w:t>
      </w:r>
    </w:p>
    <w:p>
      <w:pPr>
        <w:spacing w:after="0" w:line="52" w:lineRule="exact"/>
        <w:rPr>
          <w:sz w:val="20"/>
          <w:szCs w:val="20"/>
          <w:color w:val="auto"/>
        </w:rPr>
      </w:pPr>
    </w:p>
    <w:p>
      <w:pPr>
        <w:ind w:left="2100" w:right="43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and such holder has previously given to the trustee written notice of such continuing Event of Default;</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specified percentage in principal amount of the outstanding debt securities of the affected series have requested that the trustee institute the action in respect of such Event of Default;</w:t>
      </w:r>
    </w:p>
    <w:p>
      <w:pPr>
        <w:spacing w:after="0" w:line="51"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requesting holders have offered the trustee security or indemnity reasonably satisfactory to it for expenses and liabilities that may be incurred by bringing the action;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instituted the action within a specified number of days of the request; and</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not received inconsistent direction by the holders of a majority in principal amount of the outstanding debt securities of the affected series.</w:t>
      </w:r>
    </w:p>
    <w:p>
      <w:pPr>
        <w:spacing w:after="0" w:line="125"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3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Registered Global Securities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4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Unless and until it is exchanged in whole or in part for debt securities in definitive registered form, a registered global security may not be transferred except as a whole:</w:t>
      </w:r>
    </w:p>
    <w:p>
      <w:pPr>
        <w:spacing w:after="0" w:line="52" w:lineRule="exact"/>
        <w:rPr>
          <w:sz w:val="20"/>
          <w:szCs w:val="20"/>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for such registered global security to its nominee;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nominee of the depositary to the depositary or another nominee of the depositary;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or its nominee to a successor of the depositary or a nominee of the successor.</w:t>
      </w:r>
    </w:p>
    <w:p>
      <w:pPr>
        <w:spacing w:after="0" w:line="17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applicable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62" w:lineRule="exact"/>
        <w:rPr>
          <w:sz w:val="20"/>
          <w:szCs w:val="20"/>
          <w:color w:val="auto"/>
        </w:rPr>
      </w:pPr>
    </w:p>
    <w:p>
      <w:pPr>
        <w:ind w:left="2100" w:right="47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51" w:lineRule="exact"/>
        <w:rPr>
          <w:rFonts w:ascii="Times New Roman" w:cs="Times New Roman" w:eastAsia="Times New Roman" w:hAnsi="Times New Roman"/>
          <w:sz w:val="14"/>
          <w:szCs w:val="14"/>
          <w:color w:val="auto"/>
        </w:rPr>
      </w:pPr>
    </w:p>
    <w:p>
      <w:pPr>
        <w:ind w:left="2100" w:right="339" w:hanging="328"/>
        <w:spacing w:after="0" w:line="267"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dealers, underwriters, or agents participating in the distribution of the debt securities will designate the accounts to be credited; and</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25"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2" w:lineRule="exact"/>
        <w:rPr>
          <w:sz w:val="20"/>
          <w:szCs w:val="20"/>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the debt securities represented by a registered global security registered in their names;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delivery of the debt securities in the definitive form;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owners or holders of the debt securities under the indenture.</w:t>
      </w:r>
    </w:p>
    <w:p>
      <w:pPr>
        <w:spacing w:after="0" w:line="17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36"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4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us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4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If the depositary for any debt securities represented by a registered global security is at any time unwilling or unable to continue as depositary or ceases to be a clearing agency registered under the Exchange Act, we will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94"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36"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to be called for redemption within one year). We may effect a discharge by irrevocably depositing with the trustee cash or U.S. government obligations, as trust funds, in an amount certified to be sufficient to pay when due, whether at maturity, upon redemption or otherwise, the principal of, and premium, if any, and interest on, the debt securities and any mandatory sinking fund payments.</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68" w:lineRule="exact"/>
        <w:rPr>
          <w:sz w:val="20"/>
          <w:szCs w:val="20"/>
          <w:color w:val="auto"/>
        </w:rPr>
      </w:pPr>
    </w:p>
    <w:p>
      <w:pPr>
        <w:jc w:val="both"/>
        <w:ind w:left="2100" w:right="379" w:hanging="328"/>
        <w:spacing w:after="0" w:line="267" w:lineRule="auto"/>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cash or U.S. government obligations, as trust funds, in an amount certified to be sufficient to pay when due (whether at maturity, upon redemption, or otherwise) the principal of, and premium, if any, and interest on all outstanding debt securities of the series; and</w:t>
      </w:r>
    </w:p>
    <w:p>
      <w:pPr>
        <w:spacing w:after="0" w:line="62" w:lineRule="exact"/>
        <w:rPr>
          <w:rFonts w:ascii="Times New Roman" w:cs="Times New Roman" w:eastAsia="Times New Roman" w:hAnsi="Times New Roman"/>
          <w:sz w:val="14"/>
          <w:szCs w:val="14"/>
          <w:color w:val="auto"/>
        </w:rPr>
      </w:pPr>
    </w:p>
    <w:p>
      <w:pPr>
        <w:ind w:left="2100" w:right="219" w:hanging="328"/>
        <w:spacing w:after="0" w:line="259" w:lineRule="auto"/>
        <w:tabs>
          <w:tab w:leader="none" w:pos="21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from a nationally recognized law firm to the effect that the beneficial owners of the series of debt securities will not recognize income, gain or loss for U.S. federal income tax purposes as a result of the legal defeasance or covenant defeasance, as applicable, and that legal defeasance or covenant defeasance, as applicable, will not otherwise alter the beneficial owners’ U.S. federal income tax treatment of principal, premium, if any, and interest payments on the series of debt securities, which opinion, in the case of legal defeasance, must be based on a ruling of the Internal Revenue Service, or a change in U.S. federal income tax law.</w:t>
      </w:r>
    </w:p>
    <w:p>
      <w:pPr>
        <w:spacing w:after="0" w:line="14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Modifications of the Indenture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indenture provides that we and the trustee may enter into supplemental indentures without the consent of the holders of debt securities to:</w:t>
      </w:r>
    </w:p>
    <w:p>
      <w:pPr>
        <w:spacing w:after="0" w:line="102" w:lineRule="exact"/>
        <w:rPr>
          <w:sz w:val="20"/>
          <w:szCs w:val="20"/>
          <w:color w:val="auto"/>
        </w:rPr>
      </w:pPr>
    </w:p>
    <w:p>
      <w:pPr>
        <w:ind w:left="2100" w:hanging="328"/>
        <w:spacing w:after="0"/>
        <w:tabs>
          <w:tab w:leader="none" w:pos="2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any debt securities;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assumption by another person of our obligations, as permitted by the indenture;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for the protection of the holders of debt securities of all or any series or to surrender any right or power conferred upon us;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any additional events of default for the benefit of holders of the debt securities of all or any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one or more guarantees for the benefit of holders of the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debt securities of any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of any applicable securities depository;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debt securities in addition to or in place of certificated debt securities;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61"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of the provisions of the indenture in respect of one or more series of debt securities; provided that any such addition, change or elimination (a) shall neither (1) apply to any debt security of any series created prior to the execution of such supplemental indenture and entitled to the benefit of such provision nor (2) modify the rights of the holder of any such debt security with respect to such provision or (b) shall become effective only when there is no debt security described in clause (a)(1) outstanding;</w:t>
      </w:r>
    </w:p>
    <w:p>
      <w:pPr>
        <w:spacing w:after="0" w:line="67"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or any other series of debt securities in any material respect;</w:t>
      </w:r>
    </w:p>
    <w:p>
      <w:pPr>
        <w:spacing w:after="0" w:line="6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or regulations of any securities exchange or automated quotation system on which any of the debt securities may be listed or traded;</w:t>
      </w:r>
    </w:p>
    <w:p>
      <w:pPr>
        <w:spacing w:after="0" w:line="51"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of the provisions of the indenture as shall be necessary or desirable in accordance with any amendments to the Trust Indenture Act of 1939, as amended (the “Trust Indenture Act”), provided that such action does not adversely affect the rights or interests of any holder of debt securities in any material respect;</w:t>
      </w:r>
    </w:p>
    <w:p>
      <w:pPr>
        <w:spacing w:after="0" w:line="6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or correct any ambiguity, defect, omission or inconsistency in the indenture; provided that such action does not adversely affect the interests of the holders of debt securities of any series in any material respect;</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forms or terms of debt securities of any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by a successor trustee; and</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other provision of the indenture; provided that such addition, change or elimination does not adversely affect the interests of the holders of debt securities of any series in any material respect.</w:t>
      </w:r>
    </w:p>
    <w:p>
      <w:pPr>
        <w:spacing w:after="0" w:line="125" w:lineRule="exact"/>
        <w:rPr>
          <w:sz w:val="20"/>
          <w:szCs w:val="20"/>
          <w:color w:val="auto"/>
        </w:rPr>
      </w:pPr>
    </w:p>
    <w:p>
      <w:pPr>
        <w:jc w:val="both"/>
        <w:ind w:left="1360" w:right="319"/>
        <w:spacing w:after="0" w:line="259" w:lineRule="auto"/>
        <w:rPr>
          <w:sz w:val="20"/>
          <w:szCs w:val="20"/>
          <w:color w:val="auto"/>
        </w:rPr>
      </w:pPr>
      <w:r>
        <w:rPr>
          <w:rFonts w:ascii="Times New Roman" w:cs="Times New Roman" w:eastAsia="Times New Roman" w:hAnsi="Times New Roman"/>
          <w:sz w:val="14"/>
          <w:szCs w:val="14"/>
          <w:color w:val="auto"/>
        </w:rPr>
        <w:t>The indenture also provides that we and the trustee may, with the consent of the holders of not less than a majority in aggregate principal amount of the outstanding debt securities of all series of Senior Debt Securities or Subordinated Securities, as the case may be, then outstanding and affected thereby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68" w:lineRule="exact"/>
        <w:rPr>
          <w:sz w:val="20"/>
          <w:szCs w:val="20"/>
          <w:color w:val="auto"/>
        </w:rPr>
      </w:pPr>
    </w:p>
    <w:p>
      <w:pPr>
        <w:ind w:left="2100" w:hanging="328"/>
        <w:spacing w:after="0"/>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final maturity of any debt security;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premium, if any, on any debt security;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or extend the time of payment of interest on any debt security;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 payable on redemption of any debt security;</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39" w:hanging="328"/>
        <w:spacing w:after="0" w:line="283" w:lineRule="auto"/>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the principal (other than as may be provided otherwise with respect to a series), premium, if any, or interest is payable on any debt security;</w:t>
      </w:r>
    </w:p>
    <w:p>
      <w:pPr>
        <w:spacing w:after="0" w:line="51"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the principal of any debt security issued with an original issue discount that is payable upon acceleration or provable in bankruptcy;</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subordination provisions or the definition of senior indebtedness applicable to any Subordinated Securities in a manner adverse to the holders of those securities;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provisions of the indenture relating to the debt securities not denominated in U.S. dollars;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any debt security when due;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of any series whose consent is required for any modification of the indenture.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accompanying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and premium, if any, and interest on, and all registration, transfer, exchange, authentication and delivery (including authentication and delivery on original issuance of the debt securities) of, the debt securities of a series will be effected by the trustee with respect to such series at an office designated by the trustee.</w:t>
      </w:r>
    </w:p>
    <w:p>
      <w:pPr>
        <w:spacing w:after="0" w:line="147"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The indenture contains limitations on the right of the trustee, should it become a creditor of us,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Individual Liability of Incorporators, Stockholders, Officers or Directors</w:t>
      </w:r>
    </w:p>
    <w:p>
      <w:pPr>
        <w:spacing w:after="0" w:line="9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may issue debt warrants for the purchase of debt securities or stock warrants for the purchase of preferred stock or common stock.</w:t>
      </w:r>
    </w:p>
    <w:p>
      <w:pPr>
        <w:spacing w:after="0" w:line="176"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warrants will be issued under warrant agreements to be entered into between us and the purchasers or between us and a bank or trust company, as warrant agent, all to be set forth in the applicable prospectus supplement relating to any or all warrants in respect of which this prospectus is being delivered. We will file a copy of the warrant and warrant agreement with the SEC each time we issue a series of warrants, and these warrants and warrant agreements will be incorporated by reference into the registration statement of which this prospectus forms a part.</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following description sets forth certain general terms and provisions of the warrants to which any applicable prospectus supplement may relate. The particular terms of the warrants to which any applicable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express reference to, all the provisions of the warrant agreements and warrant certificates, including the definitions therein of certain terms.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92" w:lineRule="exact"/>
        <w:rPr>
          <w:sz w:val="20"/>
          <w:szCs w:val="20"/>
          <w:color w:val="auto"/>
        </w:rPr>
      </w:pPr>
    </w:p>
    <w:p>
      <w:pPr>
        <w:jc w:val="both"/>
        <w:ind w:left="1360" w:right="739"/>
        <w:spacing w:after="0" w:line="268"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Reference is made to the applicable prospectus supplement for the terms of debt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debt securities warrant agreement relating to such debt warrants and the debt warrant certificates representing such debt warrants, including the following:</w:t>
      </w:r>
    </w:p>
    <w:p>
      <w:pPr>
        <w:spacing w:after="0" w:line="62" w:lineRule="exact"/>
        <w:rPr>
          <w:sz w:val="20"/>
          <w:szCs w:val="20"/>
          <w:color w:val="auto"/>
        </w:rPr>
      </w:pPr>
    </w:p>
    <w:p>
      <w:pPr>
        <w:ind w:left="2100" w:right="61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terms of the debt securities purchasable upon exercise of such debt warrants and the procedures and conditions relating to the exercise of such debt warrants;</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related debt securities with which such debt warrants are issued and the number of such debt warrants issued with each such debt security;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debt warrants and any related offered securities will be separately transferable;</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such principal amount of debt securities may be purchased upon such exercise;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debt warrants shall commence and the date on which such right shall expire;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debt warrants;</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provisions of such debt warrants, if any;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warrants.</w:t>
      </w:r>
    </w:p>
    <w:p>
      <w:pPr>
        <w:spacing w:after="0" w:line="17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i w:val="1"/>
          <w:iCs w:val="1"/>
          <w:color w:val="auto"/>
        </w:rPr>
        <w:t>Exercise of Debt Warrants</w:t>
      </w:r>
      <w:r>
        <w:rPr>
          <w:rFonts w:ascii="Times New Roman" w:cs="Times New Roman" w:eastAsia="Times New Roman" w:hAnsi="Times New Roman"/>
          <w:sz w:val="14"/>
          <w:szCs w:val="14"/>
          <w:color w:val="auto"/>
        </w:rPr>
        <w:t>. Each debt warrant will entitle the holder to purchase for cash such principal amount of debt securities at such exercise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w:t>
      </w:r>
    </w:p>
    <w:p>
      <w:pPr>
        <w:spacing w:after="0" w:line="14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Warrants</w:t>
      </w:r>
    </w:p>
    <w:p>
      <w:pPr>
        <w:spacing w:after="0" w:line="92"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Reference is made to the applicable prospectus supplement for the terms of stock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stock warrant agreement relating to such stock warrants and the stock warrant certificates representing such stock warrants, including the following:</w:t>
      </w:r>
    </w:p>
    <w:p>
      <w:pPr>
        <w:spacing w:after="0" w:line="62" w:lineRule="exact"/>
        <w:rPr>
          <w:sz w:val="20"/>
          <w:szCs w:val="20"/>
          <w:color w:val="auto"/>
        </w:rPr>
      </w:pPr>
    </w:p>
    <w:p>
      <w:pPr>
        <w:ind w:left="2100" w:right="419" w:hanging="328"/>
        <w:spacing w:after="0" w:line="283"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shares of preferred stock or common stock purchasable upon exercise of such stock warrants and the procedures and conditions relating to the exercise of such stock warrants;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stock warrants and related offered securities will be separately tradeable;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such stock warrants, if any;</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price at which such shares may be purchased upon exercise of stock warrants and any provision with respect to the adjustment thereof;</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stock warrants shall commence and the date on which such right shall expire;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stock warrants;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provisions of such stock warrants, if 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stock warrants, if 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stock warrants;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relating to any preferred stock purchasable upon exercise of such stock warrants.</w:t>
      </w:r>
    </w:p>
    <w:p>
      <w:pPr>
        <w:spacing w:after="0" w:line="176"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 stock warrants will not have any of the rights of holders of shares of capital stock purchasable upon such exercise, and will not be entitled to any dividend payments on such capital stock purchasable upon such exercise.</w:t>
      </w:r>
    </w:p>
    <w:p>
      <w:pPr>
        <w:spacing w:after="0" w:line="139"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i w:val="1"/>
          <w:iCs w:val="1"/>
          <w:color w:val="auto"/>
        </w:rPr>
        <w:t>Exercise of Stock Warrants</w:t>
      </w:r>
      <w:r>
        <w:rPr>
          <w:rFonts w:ascii="Times New Roman" w:cs="Times New Roman" w:eastAsia="Times New Roman" w:hAnsi="Times New Roman"/>
          <w:sz w:val="14"/>
          <w:szCs w:val="14"/>
          <w:color w:val="auto"/>
        </w:rPr>
        <w:t>. Each stock warrant will entitle the holder to purchase for cash such number of shares of preferred stock or common stock,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 up to 5:00 p.m., California time, on the expiration date set forth in the applicable prospectus supplement. After 5:00 p.m., California time, on the expiration date, unexercised stock warrants will become void.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78"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As previously disclosed, on May 13, 2025, we entered into a subscription agreement with the selling stockholder, pursuant to which we agreed to sell and issue in a private placement (the “Private Placement”) an aggregate of 3,509,719 shares of common stock at a price of $9.26 per share, for aggregate gross proceeds of approximately $32.5 million. The closing of the Private Placement occurred on August 20, 2025. This prospectus covers the resale or other disposition from time to time by the selling stockholder of the resale shares that were issued to the selling stockholder by us in the Private Placement. We are registering the offer and sale of the resale shares to satisfy certain registration obligations that we granted the selling stockholder in connection with the Private Placement.</w:t>
      </w:r>
    </w:p>
    <w:p>
      <w:pPr>
        <w:spacing w:after="0" w:line="144"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following table sets forth certain information provided by or on behalf of the selling stockholder concerning the common stock that may be offered from time to time by such selling stockholder pursuant to this prospectus. The selling stockholder identified below may have sold, transferred, or otherwise disposed of all or a portion of their securities after the date on which they provided us with information regarding their securities. Any changed or new information given to us by the selling stockholder, including regarding the identity of, and the securities held by, such selling stockholder, will be set forth in a prospectus supplement or amendments to the registration statement of which this prospectus is a part, if and when necessary. The selling stockholder may sell all, some or none of such securities in this offering. See “Plan of Distribution.”</w:t>
      </w:r>
    </w:p>
    <w:p>
      <w:pPr>
        <w:spacing w:after="0" w:line="14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The table is based on information supplied to us by the selling stockholder, with beneficial ownership and percentage ownership determined in accordance with the rules and regulations of the SEC. This information does not necessarily indicate beneficial ownership for any other purpose. We have based our calculation of the percentage of beneficial ownership of the selling stockholder before the offering on 62,984,603 shares of common stock outstanding as of March 31, 2026. Percentage ownership of shares of our common stock after this offering gives effect to the sale by the selling stockholder of 3,509,719 shares of our common stock in this offering. The information in this table assumes the sale of all shares offered by the selling stockholder and that the selling stockholder does not acquire any additional shares.</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registration for resale of the shares does not mean that the selling stockholder will sell or otherwise dispose of all or any of these shares of common stock. The selling stockholder may sell or otherwise dispose of all, a portion or none of such shares from time to time. We do not know the number of shares, if any, that will be offered for sale or other disposition by the selling stockholder under this prospectus. We currently have no agreements, arrangements or understandings with the selling stockholder regarding the sale of any of the shares.</w:t>
      </w:r>
    </w:p>
    <w:p>
      <w:pPr>
        <w:spacing w:after="0" w:line="14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80" w:type="dxa"/>
            <w:vAlign w:val="bottom"/>
            <w:gridSpan w:val="2"/>
            <w:vMerge w:val="restart"/>
          </w:tcPr>
          <w:p>
            <w:pPr>
              <w:jc w:val="center"/>
              <w:ind w:left="302"/>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gridSpan w:val="4"/>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2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40" w:type="dxa"/>
            <w:vAlign w:val="bottom"/>
            <w:gridSpan w:val="4"/>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0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to be Sold in</w:t>
            </w:r>
          </w:p>
        </w:tc>
        <w:tc>
          <w:tcPr>
            <w:tcW w:w="114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After this</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3420" w:type="dxa"/>
            <w:vAlign w:val="bottom"/>
            <w:vMerge w:val="restart"/>
          </w:tcPr>
          <w:p>
            <w:pPr>
              <w:spacing w:after="0"/>
              <w:rPr>
                <w:sz w:val="11"/>
                <w:szCs w:val="11"/>
                <w:color w:val="auto"/>
              </w:rPr>
            </w:pPr>
          </w:p>
        </w:tc>
        <w:tc>
          <w:tcPr>
            <w:tcW w:w="164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Prior to this Offering</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this Offering</w:t>
            </w: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Offering (1)</w:t>
            </w:r>
          </w:p>
        </w:tc>
        <w:tc>
          <w:tcPr>
            <w:tcW w:w="0" w:type="dxa"/>
            <w:vAlign w:val="bottom"/>
          </w:tcPr>
          <w:p>
            <w:pPr>
              <w:spacing w:after="0"/>
              <w:rPr>
                <w:sz w:val="1"/>
                <w:szCs w:val="1"/>
                <w:color w:val="auto"/>
              </w:rPr>
            </w:pPr>
          </w:p>
        </w:tc>
      </w:tr>
      <w:tr>
        <w:trPr>
          <w:trHeight w:val="116"/>
        </w:trPr>
        <w:tc>
          <w:tcPr>
            <w:tcW w:w="1360" w:type="dxa"/>
            <w:vAlign w:val="bottom"/>
            <w:tcBorders>
              <w:bottom w:val="single" w:sz="8" w:color="auto"/>
            </w:tcBorders>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880" w:type="dxa"/>
            <w:vAlign w:val="bottom"/>
            <w:tcBorders>
              <w:top w:val="single" w:sz="8" w:color="auto"/>
            </w:tcBorders>
            <w:gridSpan w:val="2"/>
          </w:tcPr>
          <w:p>
            <w:pPr>
              <w:ind w:left="100"/>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top w:val="single" w:sz="8" w:color="auto"/>
            </w:tcBorders>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380" w:type="dxa"/>
            <w:vAlign w:val="bottom"/>
          </w:tcPr>
          <w:p>
            <w:pPr>
              <w:spacing w:after="0"/>
              <w:rPr>
                <w:sz w:val="10"/>
                <w:szCs w:val="10"/>
                <w:color w:val="auto"/>
              </w:rPr>
            </w:pPr>
          </w:p>
        </w:tc>
        <w:tc>
          <w:tcPr>
            <w:tcW w:w="74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280" w:type="dxa"/>
            <w:vAlign w:val="bottom"/>
          </w:tcPr>
          <w:p>
            <w:pPr>
              <w:spacing w:after="0"/>
              <w:rPr>
                <w:sz w:val="10"/>
                <w:szCs w:val="10"/>
                <w:color w:val="auto"/>
              </w:rPr>
            </w:pPr>
          </w:p>
        </w:tc>
        <w:tc>
          <w:tcPr>
            <w:tcW w:w="700" w:type="dxa"/>
            <w:vAlign w:val="bottom"/>
            <w:tcBorders>
              <w:top w:val="single" w:sz="8" w:color="auto"/>
            </w:tcBorders>
            <w:gridSpan w:val="2"/>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0" w:type="dxa"/>
            <w:vAlign w:val="bottom"/>
            <w:tcBorders>
              <w:top w:val="single" w:sz="8" w:color="auto"/>
            </w:tcBorders>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7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LG Innotek Co., Ltd.</w:t>
            </w: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 Magokjungang 10-ro, Gangseo-gu, Seoul, South Korea</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3,509,719</w:t>
            </w:r>
          </w:p>
        </w:tc>
        <w:tc>
          <w:tcPr>
            <w:tcW w:w="2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3,509,719</w:t>
            </w:r>
          </w:p>
        </w:tc>
        <w:tc>
          <w:tcPr>
            <w:tcW w:w="280" w:type="dxa"/>
            <w:vAlign w:val="bottom"/>
          </w:tcPr>
          <w:p>
            <w:pPr>
              <w:spacing w:after="0"/>
              <w:rPr>
                <w:sz w:val="15"/>
                <w:szCs w:val="15"/>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680" w:right="279" w:hanging="329"/>
        <w:spacing w:after="0" w:line="257"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when or in what amounts the selling stockholder may offer to sell the resale shares. The selling stockholder might not sell any or might sell all of the resale shares. Because the selling stockholder may offer all or some of the resale shares pursuant to this offering, and because, except as set forth elsewhere in this prospectus supplement, there are currently no agreements, arrangements or understandings with respect to the sale of any of the resale shares, we cannot estimate the number of resale shares that will be held by the selling stockholder after completion of the offering. However, for purposes of this table, we have assumed that after completion of the offering, none of the resale shares will be held by the selling stockholder.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validity of the securities being offered hereby is being passed upon for us by Gunderson Dettmer Stough Villeneuve Franklin &amp; Hachigian, LLP, Redwood City, California. As appropriate, any underwriters will also be advised about the validity of the securities and other legal matters by their own counsel, which will be named in the applicable prospectus supplement.</w:t>
      </w:r>
    </w:p>
    <w:p>
      <w:pPr>
        <w:spacing w:after="0" w:line="30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incorporated in this prospectus by reference have been audited by Deloitte &amp; Touche LLP, an independent registered public accounting firm, as stated in their report. Such financial statements are incorporated in reliance upon the report of such firm given their authority as experts in accounting and auditing.</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https://www.aeva.com. Information accessible on or through our website is not incorporated herein or a part of this prospectus.</w:t>
      </w:r>
    </w:p>
    <w:p>
      <w:pPr>
        <w:spacing w:after="0" w:line="13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stockholder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8"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common stock being registered under this prospectus is terminated or completed:</w:t>
      </w:r>
    </w:p>
    <w:p>
      <w:pPr>
        <w:spacing w:after="0" w:line="70" w:lineRule="exact"/>
        <w:rPr>
          <w:sz w:val="20"/>
          <w:szCs w:val="20"/>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9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20, 2026;</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portions of our </w:t>
      </w:r>
      <w:hyperlink r:id="rId91">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 Schedule 14A, filed with the SEC on April 29, 2026, that are incorporated by reference into Part III of our Annual Report on </w:t>
      </w:r>
      <w:hyperlink r:id="rId9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73"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1">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period ended March 31, 2026 filed with the SEC on May 8, 2026;</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93">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June 1, 2026; and</w:t>
      </w:r>
    </w:p>
    <w:p>
      <w:pPr>
        <w:spacing w:after="0" w:line="10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in </w:t>
      </w:r>
      <w:hyperlink r:id="rId53">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w:t>
      </w:r>
      <w:hyperlink r:id="rId9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March 20, 2025, and any other amendment or report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w:t>
      </w:r>
    </w:p>
    <w:p>
      <w:pPr>
        <w:spacing w:after="0" w:line="13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Aeva Technologies, Inc.</w:t>
      </w:r>
    </w:p>
    <w:p>
      <w:pPr>
        <w:spacing w:after="0" w:line="22"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555 Ellis Street</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Mountain View, CA 94043</w:t>
      </w:r>
    </w:p>
    <w:p>
      <w:pPr>
        <w:spacing w:after="0" w:line="7"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(650) 481-7070</w:t>
      </w:r>
    </w:p>
    <w:p>
      <w:pPr>
        <w:spacing w:after="0" w:line="10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189230</wp:posOffset>
            </wp:positionV>
            <wp:extent cx="545211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229235</wp:posOffset>
            </wp:positionV>
            <wp:extent cx="54521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4,494,382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272415</wp:posOffset>
            </wp:positionV>
            <wp:extent cx="842010" cy="1149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84201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1197610</wp:posOffset>
            </wp:positionV>
            <wp:extent cx="11493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192405</wp:posOffset>
            </wp:positionV>
            <wp:extent cx="11493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180" w:type="dxa"/>
            <w:vAlign w:val="bottom"/>
          </w:tcPr>
          <w:p>
            <w:pPr>
              <w:spacing w:after="0"/>
              <w:rPr>
                <w:sz w:val="19"/>
                <w:szCs w:val="19"/>
                <w:color w:val="auto"/>
              </w:rPr>
            </w:pPr>
          </w:p>
        </w:tc>
        <w:tc>
          <w:tcPr>
            <w:tcW w:w="4060" w:type="dxa"/>
            <w:vAlign w:val="bottom"/>
          </w:tcPr>
          <w:p>
            <w:pPr>
              <w:jc w:val="center"/>
              <w:ind w:left="81"/>
              <w:spacing w:after="0"/>
              <w:rPr>
                <w:sz w:val="20"/>
                <w:szCs w:val="20"/>
                <w:color w:val="auto"/>
              </w:rPr>
            </w:pPr>
            <w:r>
              <w:rPr>
                <w:rFonts w:ascii="Times New Roman" w:cs="Times New Roman" w:eastAsia="Times New Roman" w:hAnsi="Times New Roman"/>
                <w:sz w:val="17"/>
                <w:szCs w:val="17"/>
                <w:b w:val="1"/>
                <w:bCs w:val="1"/>
                <w:i w:val="1"/>
                <w:iCs w:val="1"/>
                <w:color w:val="auto"/>
                <w:w w:val="99"/>
              </w:rPr>
              <w:t>Joint Book-Running Managers</w:t>
            </w:r>
          </w:p>
        </w:tc>
        <w:tc>
          <w:tcPr>
            <w:tcW w:w="2340" w:type="dxa"/>
            <w:vAlign w:val="bottom"/>
          </w:tcPr>
          <w:p>
            <w:pPr>
              <w:spacing w:after="0"/>
              <w:rPr>
                <w:sz w:val="19"/>
                <w:szCs w:val="19"/>
                <w:color w:val="auto"/>
              </w:rPr>
            </w:pPr>
          </w:p>
        </w:tc>
      </w:tr>
      <w:tr>
        <w:trPr>
          <w:trHeight w:val="284"/>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4060" w:type="dxa"/>
            <w:vAlign w:val="bottom"/>
          </w:tcPr>
          <w:p>
            <w:pPr>
              <w:jc w:val="center"/>
              <w:ind w:left="41"/>
              <w:spacing w:after="0"/>
              <w:rPr>
                <w:sz w:val="20"/>
                <w:szCs w:val="20"/>
                <w:color w:val="auto"/>
              </w:rPr>
            </w:pPr>
            <w:r>
              <w:rPr>
                <w:rFonts w:ascii="Times New Roman" w:cs="Times New Roman" w:eastAsia="Times New Roman" w:hAnsi="Times New Roman"/>
                <w:sz w:val="17"/>
                <w:szCs w:val="17"/>
                <w:b w:val="1"/>
                <w:bCs w:val="1"/>
                <w:color w:val="auto"/>
                <w:w w:val="92"/>
              </w:rPr>
              <w:t>Goldman Sachs &amp; Co. LLC </w:t>
            </w:r>
          </w:p>
        </w:tc>
        <w:tc>
          <w:tcPr>
            <w:tcW w:w="2340" w:type="dxa"/>
            <w:vAlign w:val="bottom"/>
          </w:tcPr>
          <w:p>
            <w:pPr>
              <w:ind w:left="880"/>
              <w:spacing w:after="0"/>
              <w:rPr>
                <w:sz w:val="20"/>
                <w:szCs w:val="20"/>
                <w:color w:val="auto"/>
              </w:rPr>
            </w:pPr>
            <w:r>
              <w:rPr>
                <w:rFonts w:ascii="Times New Roman" w:cs="Times New Roman" w:eastAsia="Times New Roman" w:hAnsi="Times New Roman"/>
                <w:sz w:val="17"/>
                <w:szCs w:val="17"/>
                <w:b w:val="1"/>
                <w:bCs w:val="1"/>
                <w:color w:val="auto"/>
                <w:w w:val="97"/>
              </w:rPr>
              <w:t>Oppenheimer &amp; Co.</w:t>
            </w:r>
          </w:p>
        </w:tc>
      </w:tr>
      <w:tr>
        <w:trPr>
          <w:trHeight w:val="329"/>
        </w:trPr>
        <w:tc>
          <w:tcPr>
            <w:tcW w:w="2180" w:type="dxa"/>
            <w:vAlign w:val="bottom"/>
          </w:tcPr>
          <w:p>
            <w:pPr>
              <w:spacing w:after="0"/>
              <w:rPr>
                <w:sz w:val="24"/>
                <w:szCs w:val="24"/>
                <w:color w:val="auto"/>
              </w:rPr>
            </w:pPr>
          </w:p>
        </w:tc>
        <w:tc>
          <w:tcPr>
            <w:tcW w:w="406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9"/>
              </w:rPr>
              <w:t>June 3, 2026</w:t>
            </w:r>
          </w:p>
        </w:tc>
        <w:tc>
          <w:tcPr>
            <w:tcW w:w="2340" w:type="dxa"/>
            <w:vAlign w:val="bottom"/>
          </w:tcPr>
          <w:p>
            <w:pPr>
              <w:spacing w:after="0"/>
              <w:rPr>
                <w:sz w:val="24"/>
                <w:szCs w:val="24"/>
                <w:color w:val="auto"/>
              </w:rPr>
            </w:pPr>
          </w:p>
        </w:tc>
      </w:tr>
      <w:tr>
        <w:trPr>
          <w:trHeight w:val="516"/>
        </w:trPr>
        <w:tc>
          <w:tcPr>
            <w:tcW w:w="21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55"/>
        </w:trPr>
        <w:tc>
          <w:tcPr>
            <w:tcW w:w="218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bl>
    <w:p>
      <w:pPr>
        <w:sectPr>
          <w:pgSz w:w="11900" w:h="16838" w:orient="portrait"/>
          <w:cols w:equalWidth="0" w:num="1">
            <w:col w:w="10159"/>
          </w:cols>
          <w:pgMar w:left="300" w:top="386" w:right="1440" w:bottom="1440" w:gutter="0" w:footer="0" w:header="0"/>
        </w:sectPr>
      </w:pPr>
    </w:p>
    <w:bookmarkStart w:id="68" w:name="page69"/>
    <w:bookmarkEnd w:id="6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Aeva Technologies,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2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5,168,539</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w w:val="95"/>
              </w:rPr>
              <w:t>$ 22.25</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$ 15,881.50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114,999,992.75</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$ 15,881.50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114,999,992.75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$ 15,881.50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260" w:hanging="184"/>
        <w:spacing w:after="0" w:line="228" w:lineRule="auto"/>
        <w:tabs>
          <w:tab w:leader="none" w:pos="220" w:val="left"/>
        </w:tabs>
        <w:numPr>
          <w:ilvl w:val="0"/>
          <w:numId w:val="52"/>
        </w:numPr>
        <w:rPr>
          <w:rFonts w:ascii="Arial" w:cs="Arial" w:eastAsia="Arial" w:hAnsi="Arial"/>
          <w:sz w:val="21"/>
          <w:szCs w:val="21"/>
          <w:color w:val="auto"/>
          <w:vertAlign w:val="superscript"/>
        </w:rPr>
      </w:pPr>
      <w:r>
        <w:rPr>
          <w:rFonts w:ascii="Arial" w:cs="Arial" w:eastAsia="Arial" w:hAnsi="Arial"/>
          <w:sz w:val="17"/>
          <w:szCs w:val="17"/>
          <w:color w:val="auto"/>
        </w:rPr>
        <w:t>(A) Calculated in accordance with Rule 457(r) under the Securities Act of 1933, as amended. Represents deferred payment of the registration fees in connection with the registrant's Registration Statement on Form S-3 (Registration 333-296469), which was filed on June 3, 2026. (B) Includes 674,157 shares of common stock that the underwriters have an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$114,999,992.75.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5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650"/>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3"/>
    </w:lvl>
  </w:abstractNum>
  <w:abstractNum w:abstractNumId="16">
    <w:nsid w:val="419AC241"/>
    <w:multiLevelType w:val="hybridMultilevel"/>
    <w:lvl w:ilvl="0">
      <w:lvlJc w:val="left"/>
      <w:lvlText w:val="(%1)"/>
      <w:numFmt w:val="lowerLetter"/>
      <w:start w:val="9"/>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lowerLetter"/>
      <w:start w:val="1"/>
    </w:lvl>
    <w:lvl w:ilvl="1">
      <w:lvlJc w:val="left"/>
      <w:lvlText w:val="(%2)"/>
      <w:numFmt w:val="lowerRoman"/>
      <w:start w:val="1"/>
    </w:lvl>
  </w:abstractNum>
  <w:abstractNum w:abstractNumId="23">
    <w:nsid w:val="5C482A97"/>
    <w:multiLevelType w:val="hybridMultilevel"/>
    <w:lvl w:ilvl="0">
      <w:lvlJc w:val="left"/>
      <w:lvlText w:val="(%1)"/>
      <w:numFmt w:val="lowerRoman"/>
      <w:start w:val="2"/>
    </w:lvl>
    <w:lvl w:ilvl="1">
      <w:lvlJc w:val="left"/>
      <w:lvlText w:val="(%2)"/>
      <w:numFmt w:val="upperLetter"/>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e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2"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jpe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49" Type="http://schemas.openxmlformats.org/officeDocument/2006/relationships/hyperlink" Target="http://www.sec.gov/ix?doc=/Archives/edgar/data/1789029/000119312526116518/aeva-20251231.htm" TargetMode="External"/><Relationship Id="rId50" Type="http://schemas.openxmlformats.org/officeDocument/2006/relationships/hyperlink" Target="http://www.sec.gov/ix?doc=/Archives/edgar/data/1789029/000114036126017859/aeva-20260618.htm" TargetMode="External"/><Relationship Id="rId51" Type="http://schemas.openxmlformats.org/officeDocument/2006/relationships/hyperlink" Target="http://www.sec.gov/ix?doc=/Archives/edgar/data/1789029/000119312526212597/aeva-20260331.htm" TargetMode="External"/><Relationship Id="rId52" Type="http://schemas.openxmlformats.org/officeDocument/2006/relationships/hyperlink" Target="http://www.sec.gov/ix?doc=/Archives/edgar/data/1789029/000119312526251690/d130280d8k.htm" TargetMode="External"/><Relationship Id="rId53" Type="http://schemas.openxmlformats.org/officeDocument/2006/relationships/hyperlink" Target="http://www.sec.gov/Archives/edgar/data/1789029/000095017025042849/aeva-ex4_4.htm" TargetMode="External"/><Relationship Id="rId90" Type="http://schemas.openxmlformats.org/officeDocument/2006/relationships/hyperlink" Target="http://www.sec.gov/ix?doc=/Archives/edgar/data/0001789029/000119312526116518/aeva-20251231.htm" TargetMode="External"/><Relationship Id="rId91" Type="http://schemas.openxmlformats.org/officeDocument/2006/relationships/hyperlink" Target="http://www.sec.gov/ix?doc=/Archives/edgar/data/0001789029/000114036126017859/aeva-20260618.htm" TargetMode="External"/><Relationship Id="rId93" Type="http://schemas.openxmlformats.org/officeDocument/2006/relationships/hyperlink" Target="http://www.sec.gov/ix?doc=/Archives/edgar/data/0001789029/000119312526251690/d130280d8k.htm" TargetMode="External"/><Relationship Id="rId94" Type="http://schemas.openxmlformats.org/officeDocument/2006/relationships/hyperlink" Target="http://www.sec.gov/ix?doc=/Archives/edgar/data/0001789029/000095017025042849/aeva-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2026-06-04T16:27:52Z</dcterms:created>
  <dcterms:modified xsi:type="dcterms:W3CDTF">2026-06-04T16:27:52Z</dcterms:modified>
</cp:coreProperties>
</file>