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Maheshwari Rupesh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ELLIS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MOUNTAIN VIEW</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09/05/2026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Aeva Technologies, Inc.</w:t>
              </w:r>
            </w:hyperlink>
            <w:r>
              <w:rPr/>
              <w:t xml:space="preserve"> [ </w:t>
            </w:r>
            <w:r>
              <w:rPr>
                <w:rFonts w:ascii="Times;serif" w:hAnsi="Times;serif"/>
                <w:color w:val="0000FF"/>
                <w:sz w:val="24"/>
                <w:shd w:fill="FFFFFF" w:val="clear"/>
              </w:rPr>
              <w:t>AEVA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45,000</w:t>
            </w:r>
            <w:r>
              <w:rPr>
                <w:rFonts w:ascii="Times;serif" w:hAnsi="Times;serif"/>
                <w:color w:val="008000"/>
                <w:position w:val="7"/>
                <w:sz w:val="16"/>
                <w:sz w:val="20"/>
                <w:shd w:fill="FFFFFF" w:val="clear"/>
              </w:rPr>
              <w:t>(1)</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restricted stock units ("RSUs"). Each RSU represents a contingent right to receive one share of the Issuer's Common Stock. The RSU is subject to service-based vesting requirements and vests with respect to 25% of the RSUs on the one-year anniversary of December 16, 2025, and with respect to 12.5% of the RSUs on each six-month anniversary thereafter, subject to Reporting Person's continuous service through each applicable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Interim Chief Financial Officer Exhibit 24 - Power of Attorney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Rupesh Maheshwari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pBdr>
          <w:bottom w:val="single" w:sz="8" w:space="1" w:color="000000"/>
        </w:pBdr>
        <w:bidi w:val="0"/>
        <w:jc w:val="left"/>
        <w:rPr/>
      </w:pPr>
      <w:bookmarkStart w:id="2" w:name="aeva-ex24.htm"/>
      <w:bookmarkStart w:id="3" w:name="ksaevaex24"/>
      <w:bookmarkEnd w:id="2"/>
      <w:bookmarkEnd w:id="3"/>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POWER OF ATTORNEY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With respect to holdings of and transactions in securities issued by Aeva Technologies, Inc. (the “Company”), the undersigned hereby constitutes and appoints the individual(s) named on </w:t>
      </w:r>
      <w:r>
        <w:rPr>
          <w:rFonts w:ascii="Times New Roman" w:hAnsi="Times New Roman"/>
          <w:color w:val="000000"/>
          <w:sz w:val="20"/>
          <w:u w:val="single"/>
        </w:rPr>
        <w:t>Schedule A</w:t>
      </w:r>
      <w:r>
        <w:rPr>
          <w:rFonts w:ascii="Times New Roman" w:hAnsi="Times New Roman"/>
          <w:color w:val="000000"/>
          <w:sz w:val="20"/>
        </w:rPr>
        <w:t xml:space="preserve"> attached hereto and as may be amended from time to time, or any of them signing singly, with full power of substitution and resubstitution, to act as the undersigned’s true and lawful attorney-in-fact to:</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execute for and on behalf of the undersigned, Schedules 13D and 13G in accordance with Section 13 of the Securities Exchange Act of 1934, as amended (the “Exchange Act”), and the rules thereunder, and Forms 3, 4, and 5 in accordance with Section 16 of the Exchange Act and the rules thereunder;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Schedule 13D and 13G and Forms 3, 4, and 5 with respect to the undersigned’s holdings of and transactions in securities issued by the Company, unless earlier revoked by the undersigned in a signed writing delivered to the foregoing attorneys-in-fact.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on September 11, 2026.</w:t>
      </w:r>
    </w:p>
    <w:p>
      <w:pPr>
        <w:pStyle w:val="TextBody"/>
        <w:bidi w:val="0"/>
        <w:jc w:val="left"/>
        <w:rPr/>
      </w:pPr>
      <w:r>
        <w:rPr/>
        <w:t> </w:t>
      </w:r>
    </w:p>
    <w:tbl>
      <w:tblPr>
        <w:tblW w:w="2274" w:type="dxa"/>
        <w:jc w:val="left"/>
        <w:tblInd w:w="0" w:type="dxa"/>
        <w:tblLayout w:type="fixed"/>
        <w:tblCellMar>
          <w:top w:w="28" w:type="dxa"/>
          <w:left w:w="28" w:type="dxa"/>
          <w:bottom w:w="28" w:type="dxa"/>
          <w:right w:w="28" w:type="dxa"/>
        </w:tblCellMar>
      </w:tblPr>
      <w:tblGrid>
        <w:gridCol w:w="124"/>
        <w:gridCol w:w="199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Rupesh Maheshwari</w:t>
            </w:r>
          </w:p>
        </w:tc>
        <w:tc>
          <w:tcPr>
            <w:tcW w:w="154" w:type="dxa"/>
            <w:tcBorders>
              <w:bottom w:val="single" w:sz="1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Rupesh Maheshwari</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Individuals Appointed as Attorney-in-Fact with Full Power of Substitution and Resubstitution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SCHEDULE A</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Soroush Salehian Dardashti</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8"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9378" TargetMode="External"/><Relationship Id="rId3" Type="http://schemas.openxmlformats.org/officeDocument/2006/relationships/hyperlink" Target="http://www.sec.gov/cgi-bin/browse-edgar?action=getcompany&amp;CIK=000178902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976</Words>
  <Characters>5220</Characters>
  <CharactersWithSpaces>6148</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