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aeva-20260506.htm"/>
      <w:bookmarkStart w:id="1" w:name="ksaeva20260506"/>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Aeva Technologies,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001-39204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84-3080757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Ellis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Mountain View,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481-7070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AEVA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06, 2026, Aeva Technologies, Inc. (the “Company”) issued a press release announcing financial results for the quarter ended March 31, 2026. A copy of the press release is furnished as Exhibit 99.1 to this Current Report on Form 8-K and is incorporated by reference in this Item 2.02.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506" w:type="dxa"/>
        <w:jc w:val="left"/>
        <w:tblInd w:w="0" w:type="dxa"/>
        <w:tblLayout w:type="fixed"/>
        <w:tblCellMar>
          <w:top w:w="28" w:type="dxa"/>
          <w:left w:w="28" w:type="dxa"/>
          <w:bottom w:w="28" w:type="dxa"/>
          <w:right w:w="28" w:type="dxa"/>
        </w:tblCellMar>
      </w:tblPr>
      <w:tblGrid>
        <w:gridCol w:w="506"/>
        <w:gridCol w:w="457"/>
        <w:gridCol w:w="461"/>
        <w:gridCol w:w="146"/>
        <w:gridCol w:w="146"/>
        <w:gridCol w:w="146"/>
        <w:gridCol w:w="2007"/>
        <w:gridCol w:w="2007"/>
        <w:gridCol w:w="2630"/>
      </w:tblGrid>
      <w:tr>
        <w:trPr/>
        <w:tc>
          <w:tcPr>
            <w:tcW w:w="50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0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7" w:type="dxa"/>
            <w:tcBorders/>
            <w:tcMar>
              <w:top w:w="0" w:type="dxa"/>
              <w:left w:w="0" w:type="dxa"/>
              <w:bottom w:w="0" w:type="dxa"/>
              <w:right w:w="0" w:type="dxa"/>
            </w:tcMar>
            <w:vAlign w:val="center"/>
          </w:tcPr>
          <w:p>
            <w:pPr>
              <w:pStyle w:val="TableContents"/>
              <w:bidi w:val="0"/>
              <w:spacing w:before="0" w:after="283"/>
              <w:jc w:val="left"/>
              <w:rPr/>
            </w:pPr>
            <w:r>
              <w:rPr/>
              <w:t> </w:t>
            </w:r>
          </w:p>
        </w:tc>
        <w:tc>
          <w:tcPr>
            <w:tcW w:w="26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4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hyperlink w:anchor="aeva-ex99_1.htm">
              <w:r>
                <w:rPr>
                  <w:rStyle w:val="InternetLink"/>
                  <w:rFonts w:ascii="Times New Roman" w:hAnsi="Times New Roman"/>
                  <w:color w:val="0000FF"/>
                  <w:sz w:val="20"/>
                  <w:u w:val="single"/>
                </w:rPr>
                <w:t>Press Release dated May 06, 2026</w:t>
              </w:r>
            </w:hyperlink>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4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369" w:type="dxa"/>
        <w:jc w:val="left"/>
        <w:tblInd w:w="0" w:type="dxa"/>
        <w:tblLayout w:type="fixed"/>
        <w:tblCellMar>
          <w:top w:w="28" w:type="dxa"/>
          <w:left w:w="28" w:type="dxa"/>
          <w:bottom w:w="28" w:type="dxa"/>
          <w:right w:w="28" w:type="dxa"/>
        </w:tblCellMar>
      </w:tblPr>
      <w:tblGrid>
        <w:gridCol w:w="556"/>
        <w:gridCol w:w="1246"/>
        <w:gridCol w:w="451"/>
        <w:gridCol w:w="211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Aeva Technologies,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06,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Saurabh Sinha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Saurabh Sinha</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eva-ex99_1.htm"/>
      <w:bookmarkStart w:id="3" w:name="ksaevaex99_1"/>
      <w:bookmarkEnd w:id="2"/>
      <w:bookmarkEnd w:id="3"/>
      <w:r>
        <w:rPr/>
        <w:t> </w:t>
      </w:r>
      <w:r>
        <w:br w:type="page"/>
      </w:r>
    </w:p>
    <w:p>
      <w:pPr>
        <w:pStyle w:val="TextBody"/>
        <w:bidi w:val="0"/>
        <w:jc w:val="right"/>
        <w:rPr>
          <w:rFonts w:ascii="sans-serif" w:hAnsi="sans-serif"/>
          <w:color w:val="000000"/>
          <w:sz w:val="22"/>
        </w:rPr>
      </w:pPr>
      <w:r>
        <w:rPr>
          <w:rFonts w:ascii="sans-serif" w:hAnsi="sans-serif"/>
          <w:color w:val="000000"/>
          <w:sz w:val="22"/>
        </w:rPr>
        <w:t>Exhibit 99.1</w:t>
      </w:r>
    </w:p>
    <w:p>
      <w:pPr>
        <w:pStyle w:val="TextBody"/>
        <w:bidi w:val="0"/>
        <w:jc w:val="center"/>
        <w:rPr/>
      </w:pPr>
      <w:r>
        <w:rPr/>
        <w:t> </w:t>
      </w:r>
    </w:p>
    <w:p>
      <w:pPr>
        <w:pStyle w:val="TextBody"/>
        <w:bidi w:val="0"/>
        <w:jc w:val="center"/>
        <w:rPr>
          <w:rFonts w:ascii="sans-serif" w:hAnsi="sans-serif"/>
          <w:b/>
          <w:color w:val="000000"/>
          <w:sz w:val="32"/>
        </w:rPr>
      </w:pPr>
      <w:r>
        <w:rPr>
          <w:rFonts w:ascii="sans-serif" w:hAnsi="sans-serif"/>
          <w:b/>
          <w:color w:val="000000"/>
          <w:sz w:val="32"/>
        </w:rPr>
        <w:t>Aeva Reports First Quarter 2026 Results</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Achieved New Record Quarterly Revenue with Growing Commercial Momentum</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Key Milestones Achieved in Automotive and Commercial Vehicles with Production Intent Atlas Sensors Delivered to Daimler Truck and Atlas Ultra Integration with Top European Passenger OEM</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Additional Commercial Deployments in Physical AI with Forterra in Defense, Aeva CityOS in ITS and Nikon in Factory Automation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MOUNTAIN VIEW, Calif., May 6, 2026 –</w:t>
      </w:r>
      <w:r>
        <w:rPr>
          <w:rFonts w:ascii="Times New Roman" w:hAnsi="Times New Roman"/>
          <w:color w:val="000000"/>
          <w:sz w:val="20"/>
        </w:rPr>
        <w:t xml:space="preserve"> </w:t>
      </w:r>
      <w:r>
        <w:rPr>
          <w:rFonts w:ascii="sans-serif" w:hAnsi="sans-serif"/>
          <w:color w:val="0000FF"/>
          <w:sz w:val="22"/>
        </w:rPr>
        <w:t>Aeva</w:t>
      </w:r>
      <w:r>
        <w:rPr>
          <w:rFonts w:ascii="sans-serif" w:hAnsi="sans-serif"/>
          <w:color w:val="000000"/>
          <w:sz w:val="22"/>
        </w:rPr>
        <w:t>® (Nasdaq: AEVA), a leader in next-generation sensing and perception systems, today announced its first quarter 2026 results.</w:t>
      </w:r>
    </w:p>
    <w:p>
      <w:pPr>
        <w:pStyle w:val="TextBody"/>
        <w:bidi w:val="0"/>
        <w:jc w:val="left"/>
        <w:rPr>
          <w:rFonts w:ascii="sans-serif" w:hAnsi="sans-serif"/>
          <w:b/>
          <w:color w:val="000000"/>
          <w:sz w:val="22"/>
        </w:rPr>
      </w:pPr>
      <w:r>
        <w:rPr>
          <w:rFonts w:ascii="sans-serif" w:hAnsi="sans-serif"/>
          <w:b/>
          <w:color w:val="000000"/>
          <w:sz w:val="22"/>
        </w:rPr>
        <w:t>Key Company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Delivered production intent Atlas sensors to Daimler Truck, highlighting the maturity of Aeva’s technology and a major step to bringing the OEM’s autonomous trucks to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Delivered first Atlas Ultra sensors to the Top 10 European passenger OEM for vehicle integration and AV stack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Working with NVIDIA on integrating 4D LiDAR as the reference sensor for the DRIVE Hyperion platform used by leading OEMs and AV companies to enable L3 and higher automated driving</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Growing in defense with Forterra expanding use of 4D LiDAR to another autonomous ground vehicle to leverage Aeva’s long-range, velocity and undetectability by night vision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Introduced CityOS, our full-stack AI-powered traffic management solution, which has already been selected for a large-scale award in Georgia with deployment underway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Nikon launched its APDIS MV5X laser radar system powered by Aeva’s Eve high-precision technology in a multi-year production agreement to use Aeva’s technology for automated robotic inspection in factories for automotive, aerospace and energy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Growing commercial momentum across automotive including L3 and high volume ADAS, and other physical AI applications such as defense and infrastructure</w:t>
      </w:r>
    </w:p>
    <w:p>
      <w:pPr>
        <w:pStyle w:val="TextBody"/>
        <w:bidi w:val="0"/>
        <w:jc w:val="left"/>
        <w:rPr/>
      </w:pPr>
      <w:r>
        <w:rPr/>
        <w:t> </w:t>
      </w:r>
    </w:p>
    <w:p>
      <w:pPr>
        <w:pStyle w:val="TextBody"/>
        <w:bidi w:val="0"/>
        <w:jc w:val="left"/>
        <w:rPr/>
      </w:pPr>
      <w:r>
        <w:rPr>
          <w:color w:val="000000"/>
        </w:rPr>
        <w:t>“</w:t>
      </w:r>
      <w:r>
        <w:rPr>
          <w:rFonts w:ascii="sans-serif" w:hAnsi="sans-serif"/>
          <w:color w:val="000000"/>
          <w:sz w:val="22"/>
        </w:rPr>
        <w:t>Following record revenue in the previous quarter, Aeva in Q1 achieved another new record quarterly revenue, driven by increasing commercial deployments of our perception platform and successful execution of major development milestones for top automotive OEM production programs,” said Soroush Salehian, Co-founder and CEO at Aeva. “We also continued to advance on additional programs across automotive and other physical AI applications. With a growing list of opportunities, we are keenly focused on delivering on existing programs and scaling manufacturing to meeting more of the growing demand for Aeva’s unique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First Quarter 2026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Total Available Liquidity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Total available liquidity of $224.5 million as of March 31, 2026, consisting of $99.5 million in cash, cash equivalents and marketable securities and $125.0 million in an available facility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Revenue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Revenue of $6.3 million in Q1 2026, compared to revenue of $3.4 million in Q1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GAAP and Non-GAAP Operating Loss*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GAAP operating loss of $35.1 million in Q1 2026, compared to GAAP operating loss of $30.4 million in Q1 2025</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Non-GAAP operating loss of $25.8 million in Q1 2026, compared to non-GAAP operating loss of $25.9 million in Q1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GAAP and Non-GAAP Net Loss per Share*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GAAP net loss per share of $0.56 in Q1 2026, compared to GAAP net loss per share of $0.64 in Q1 2025</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Non-GAAP net loss per share of $0.41 in Q1 2026, compared to non-GAAP net loss per share of $0.45 in Q1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Shares Outstanding</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 xml:space="preserve">Weighted average shares outstanding of 62.8 million in Q1 2026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*Tables reconciling GAAP to non-GAAP measures are provided at the end of this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Conference Call Details</w:t>
      </w:r>
    </w:p>
    <w:p>
      <w:pPr>
        <w:pStyle w:val="TextBody"/>
        <w:bidi w:val="0"/>
        <w:jc w:val="left"/>
        <w:rPr>
          <w:rFonts w:ascii="Times New Roman" w:hAnsi="Times New Roman"/>
          <w:sz w:val="20"/>
        </w:rPr>
      </w:pPr>
      <w:r>
        <w:rPr>
          <w:rFonts w:ascii="sans-serif" w:hAnsi="sans-serif"/>
          <w:color w:val="000000"/>
          <w:sz w:val="22"/>
        </w:rPr>
        <w:t xml:space="preserve">Aeva will host a conference call and live webcast to discuss results at 2:00 p.m. PT / 5:00 p.m. ET today, May 6, 2026. The live webcast and replay can be accessed at </w:t>
      </w:r>
      <w:r>
        <w:rPr>
          <w:rFonts w:ascii="sans-serif" w:hAnsi="sans-serif"/>
          <w:color w:val="1155CC"/>
          <w:sz w:val="22"/>
        </w:rPr>
        <w:t>investors.aeva.com</w:t>
      </w:r>
      <w:r>
        <w:rPr>
          <w:rFonts w:ascii="sans-serif" w:hAnsi="sans-serif"/>
          <w:color w:val="000000"/>
          <w:sz w:val="22"/>
        </w:rPr>
        <w:t>.</w:t>
      </w:r>
    </w:p>
    <w:p>
      <w:pPr>
        <w:pStyle w:val="TextBody"/>
        <w:bidi w:val="0"/>
        <w:jc w:val="left"/>
        <w:rPr>
          <w:rFonts w:ascii="sans-serif" w:hAnsi="sans-serif"/>
          <w:b/>
          <w:color w:val="000000"/>
          <w:sz w:val="22"/>
        </w:rPr>
      </w:pPr>
      <w:r>
        <w:rPr>
          <w:rFonts w:ascii="sans-serif" w:hAnsi="sans-serif"/>
          <w:b/>
          <w:color w:val="000000"/>
          <w:sz w:val="22"/>
        </w:rPr>
        <w:t>About Aeva Technologies, Inc. (Nasdaq: AEVA)</w:t>
      </w:r>
    </w:p>
    <w:p>
      <w:pPr>
        <w:pStyle w:val="TextBody"/>
        <w:bidi w:val="0"/>
        <w:jc w:val="left"/>
        <w:rPr>
          <w:rFonts w:ascii="Times New Roman" w:hAnsi="Times New Roman"/>
          <w:sz w:val="20"/>
        </w:rPr>
      </w:pPr>
      <w:r>
        <w:rPr>
          <w:rFonts w:ascii="sans-serif" w:hAnsi="sans-serif"/>
          <w:color w:val="000000"/>
          <w:sz w:val="22"/>
        </w:rPr>
        <w:t xml:space="preserve">Aeva’s mission is to bring the next wave of perception to a broad range of applications from automated driving, manufacturing automation and smart infrastructure, to robotics and consumer devices. Aeva is accelerating autonomy with its groundbreaking perception platform that integrates lidar-on-chip technology, system-on-chip processing, and perception algorithms onto silicon leveraging silicon photonics. Aeva 4D LiDAR sensors uniquely detect velocity and position simultaneously, allowing automated devices like vehicles and robots to make more intelligent and safe decisions. For more information, visit </w:t>
      </w:r>
      <w:r>
        <w:rPr>
          <w:rFonts w:ascii="sans-serif" w:hAnsi="sans-serif"/>
          <w:color w:val="0000FF"/>
          <w:sz w:val="22"/>
        </w:rPr>
        <w:t>www.aeva.com</w:t>
      </w:r>
      <w:r>
        <w:rPr>
          <w:rFonts w:ascii="sans-serif" w:hAnsi="sans-serif"/>
          <w:color w:val="000000"/>
          <w:sz w:val="22"/>
        </w:rPr>
        <w:t xml:space="preserve">, or connect with us on </w:t>
      </w:r>
      <w:r>
        <w:rPr>
          <w:rFonts w:ascii="sans-serif" w:hAnsi="sans-serif"/>
          <w:color w:val="0000FF"/>
          <w:sz w:val="22"/>
        </w:rPr>
        <w:t>X</w:t>
      </w:r>
      <w:r>
        <w:rPr>
          <w:rFonts w:ascii="Times New Roman" w:hAnsi="Times New Roman"/>
          <w:color w:val="000000"/>
          <w:sz w:val="20"/>
        </w:rPr>
        <w:t xml:space="preserve"> </w:t>
      </w:r>
      <w:r>
        <w:rPr>
          <w:rFonts w:ascii="sans-serif" w:hAnsi="sans-serif"/>
          <w:color w:val="000000"/>
          <w:sz w:val="22"/>
        </w:rPr>
        <w:t xml:space="preserve">or </w:t>
      </w:r>
      <w:r>
        <w:rPr>
          <w:rFonts w:ascii="sans-serif" w:hAnsi="sans-serif"/>
          <w:color w:val="0000FF"/>
          <w:sz w:val="22"/>
        </w:rPr>
        <w:t>LinkedIn</w:t>
      </w:r>
      <w:r>
        <w:rPr>
          <w:rFonts w:ascii="sans-serif" w:hAnsi="sans-serif"/>
          <w:color w:val="000000"/>
          <w:sz w:val="22"/>
        </w:rPr>
        <w:t>.</w:t>
      </w:r>
    </w:p>
    <w:p>
      <w:pPr>
        <w:pStyle w:val="TextBody"/>
        <w:bidi w:val="0"/>
        <w:jc w:val="left"/>
        <w:rPr>
          <w:rFonts w:ascii="sans-serif" w:hAnsi="sans-serif"/>
          <w:i/>
          <w:color w:val="000000"/>
          <w:sz w:val="22"/>
        </w:rPr>
      </w:pPr>
      <w:r>
        <w:rPr>
          <w:rFonts w:ascii="sans-serif" w:hAnsi="sans-serif"/>
          <w:i/>
          <w:color w:val="000000"/>
          <w:sz w:val="22"/>
        </w:rPr>
        <w:t>Aeva, the Aeva logo, Aeva 4D LiDAR, Aeva Atlas, Aeries, Aeva Eve, Aeva Omni, Aeva CityOS, Aeva Ultra Resolution, Aeva CoreVision, and Aeva X1 are trademarks/registered trademarks of Aeva, Inc. All rights reserved. Third-party trademarks are the property of their respective owners.</w:t>
      </w:r>
    </w:p>
    <w:p>
      <w:pPr>
        <w:pStyle w:val="TextBody"/>
        <w:bidi w:val="0"/>
        <w:jc w:val="left"/>
        <w:rPr>
          <w:rFonts w:ascii="sans-serif" w:hAnsi="sans-serif"/>
          <w:b/>
          <w:color w:val="000000"/>
          <w:sz w:val="22"/>
        </w:rPr>
      </w:pPr>
      <w:r>
        <w:rPr>
          <w:rFonts w:ascii="sans-serif" w:hAnsi="sans-serif"/>
          <w:b/>
          <w:color w:val="000000"/>
          <w:sz w:val="22"/>
        </w:rPr>
        <w:t>Forward looking statements</w:t>
      </w:r>
    </w:p>
    <w:p>
      <w:pPr>
        <w:pStyle w:val="TextBody"/>
        <w:bidi w:val="0"/>
        <w:jc w:val="left"/>
        <w:rPr>
          <w:rFonts w:ascii="Times New Roman" w:hAnsi="Times New Roman"/>
          <w:sz w:val="20"/>
        </w:rPr>
      </w:pPr>
      <w:r>
        <w:rPr>
          <w:rFonts w:ascii="sans-serif" w:hAnsi="sans-serif"/>
          <w:color w:val="000000"/>
          <w:sz w:val="22"/>
        </w:rPr>
        <w:t>This press release contains certain forward-looking statements within the meaning of the federal securities laws. Forward-looking statements generally are identified by the words “believe,” “project,” “expect,” “anticipate,” “estimate,” “intend,” “strategy,” “future,” “opportunity,” “plan,” “may,” “should,” “will,” “would,” “will be,” “will continue,” “will likely result,” and similar expressions. These forward-looking statements include, but are not limited to expectations about product development, product features, performance, the timing of production, and market adoption.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fact that Aeva is an early stage company with a history of operating losses and may never achieve profitability, (ii) Aeva’s limited operating history, (iii) Aeva’s ability to implement business plans, forecasts, and other expectations and to identify and realize additional opportunities, (iv) the timing of any orders for the Company’s solutions, which will not be under our control, (v) the risk that automotive OEMs may not pursue or adopt the platform as currently anticipated, if at all, (vi) the risk that markets will not accept products of automotive OEMs or of manufacturers in other industries that use our technologies,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(vii) supply chain and manufacturing issues, (vii) unforeseen errors or defects, (viii) market acceptance of LiDAR technology and autonomous driving, (ix) general economic conditions, including tariffs, and other material risks and other important factors that could affect our financial results. Please refer to our filings with the SEC, including our most recent Quarterly Reports on Form 10-Q and our most recent Annual Report on Form 10-K.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Aeva assumes no obligation and does not intend to update or revise these forward-looking statements, whether as a result of new information, future events, or otherwise. Aeva does not give any assurance that it will achieve its expectations.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Non-GAAP Information</w:t>
      </w:r>
    </w:p>
    <w:p>
      <w:pPr>
        <w:pStyle w:val="TextBody"/>
        <w:bidi w:val="0"/>
        <w:jc w:val="left"/>
        <w:rPr>
          <w:rFonts w:ascii="Times New Roman" w:hAnsi="Times New Roman"/>
          <w:sz w:val="20"/>
        </w:rPr>
      </w:pPr>
      <w:r>
        <w:rPr>
          <w:rFonts w:ascii="sans-serif" w:hAnsi="sans-serif"/>
          <w:color w:val="000000"/>
          <w:sz w:val="22"/>
        </w:rPr>
        <w:t>In addition to our financial results determined in accordance with U.S. GAAP, we present non-GAAP operating loss and non-GAAP net loss per share. “Non-GAAP operating loss” is defined as GAAP operating loss before stock-based compensation. “Non-GAAP net loss per share” is defined as non-GAAP net loss divided by weighted average shares outstanding, basic and diluted. “Non-GAAP net loss” is defined as GAAP net loss before stock-based compensation and change in fair value of warrant liabilities.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We believe that non-GAAP operating loss and non-GAAP net loss per share, when taken together with the corresponding U.S. GAAP financial measures, provide meaningful supplemental information regarding our performance by excluding certain items that may not be indicative of our core business, results of operations, or outlook. We consider non-GAAP operating loss and non-GAAP net loss per share to be important measures because they help illustrate underlying trends in our business and our historical operating performance on a more consistent basis.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However, non-GAAP financial information is presented for supplemental informational purposes only, has limitations as an analytical tool, and should not be considered in isolation or as a substitute for financial information presented in accordance with U.S. GAAP. Non-GAAP financial measures have limitations, including that they exclude certain expenses that are required under GAAP, which adjustments reflect the exercise of judgment by management. In addition, other companies, including companies in our industry, may calculate similarly-titled non-GAAP financial measures or ratios differently or may use other financial measures or ratios to evaluate their performance, all of which could reduce the usefulness of non-GAAP operating loss and non-GAAP net loss per share as tools for comparison. Reconciliations are provided at the end of this release to the most directly comparable financial measures in accordance with U.S. GAAP. Investors are encouraged to review our U.S. GAAP financial measures and not to rely on any single financial measure to evaluate our business.</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Contacts</w:t>
      </w:r>
    </w:p>
    <w:p>
      <w:pPr>
        <w:pStyle w:val="TextBody"/>
        <w:bidi w:val="0"/>
        <w:jc w:val="left"/>
        <w:rPr>
          <w:rFonts w:ascii="sans-serif" w:hAnsi="sans-serif"/>
          <w:color w:val="000000"/>
          <w:sz w:val="22"/>
        </w:rPr>
      </w:pPr>
      <w:r>
        <w:rPr>
          <w:rFonts w:ascii="sans-serif" w:hAnsi="sans-serif"/>
          <w:color w:val="000000"/>
          <w:sz w:val="22"/>
        </w:rPr>
        <w:t>Media:</w:t>
      </w:r>
    </w:p>
    <w:p>
      <w:pPr>
        <w:pStyle w:val="TextBody"/>
        <w:bidi w:val="0"/>
        <w:jc w:val="left"/>
        <w:rPr>
          <w:rFonts w:ascii="sans-serif" w:hAnsi="sans-serif"/>
          <w:color w:val="000000"/>
          <w:sz w:val="22"/>
        </w:rPr>
      </w:pPr>
      <w:r>
        <w:rPr>
          <w:rFonts w:ascii="sans-serif" w:hAnsi="sans-serif"/>
          <w:color w:val="000000"/>
          <w:sz w:val="22"/>
        </w:rPr>
        <w:t>Michael Oldenburg</w:t>
      </w:r>
    </w:p>
    <w:p>
      <w:pPr>
        <w:pStyle w:val="TextBody"/>
        <w:bidi w:val="0"/>
        <w:jc w:val="left"/>
        <w:rPr>
          <w:rFonts w:ascii="sans-serif" w:hAnsi="sans-serif"/>
          <w:color w:val="1155CC"/>
          <w:sz w:val="22"/>
        </w:rPr>
      </w:pPr>
      <w:r>
        <w:rPr>
          <w:rFonts w:ascii="sans-serif" w:hAnsi="sans-serif"/>
          <w:color w:val="1155CC"/>
          <w:sz w:val="22"/>
        </w:rPr>
        <w:t>press@aeva.ai</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Investors:</w:t>
      </w:r>
    </w:p>
    <w:p>
      <w:pPr>
        <w:pStyle w:val="TextBody"/>
        <w:bidi w:val="0"/>
        <w:jc w:val="left"/>
        <w:rPr>
          <w:rFonts w:ascii="sans-serif" w:hAnsi="sans-serif"/>
          <w:color w:val="000000"/>
          <w:sz w:val="22"/>
        </w:rPr>
      </w:pPr>
      <w:r>
        <w:rPr>
          <w:rFonts w:ascii="sans-serif" w:hAnsi="sans-serif"/>
          <w:color w:val="000000"/>
          <w:sz w:val="22"/>
        </w:rPr>
        <w:t>Andrew Fung</w:t>
      </w:r>
    </w:p>
    <w:p>
      <w:pPr>
        <w:pStyle w:val="TextBody"/>
        <w:bidi w:val="0"/>
        <w:jc w:val="left"/>
        <w:rPr>
          <w:rFonts w:ascii="sans-serif" w:hAnsi="sans-serif"/>
          <w:color w:val="1155CC"/>
          <w:sz w:val="22"/>
        </w:rPr>
      </w:pPr>
      <w:r>
        <w:rPr>
          <w:rFonts w:ascii="sans-serif" w:hAnsi="sans-serif"/>
          <w:color w:val="1155CC"/>
          <w:sz w:val="22"/>
        </w:rPr>
        <w:t>investors@aeva.ai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87" w:type="dxa"/>
        <w:jc w:val="left"/>
        <w:tblInd w:w="0" w:type="dxa"/>
        <w:tblLayout w:type="fixed"/>
        <w:tblCellMar>
          <w:top w:w="28" w:type="dxa"/>
          <w:left w:w="28" w:type="dxa"/>
          <w:bottom w:w="28" w:type="dxa"/>
          <w:right w:w="28" w:type="dxa"/>
        </w:tblCellMar>
      </w:tblPr>
      <w:tblGrid>
        <w:gridCol w:w="4636"/>
        <w:gridCol w:w="146"/>
        <w:gridCol w:w="256"/>
        <w:gridCol w:w="1171"/>
        <w:gridCol w:w="196"/>
        <w:gridCol w:w="146"/>
        <w:gridCol w:w="331"/>
        <w:gridCol w:w="1514"/>
        <w:gridCol w:w="7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AEVA TECHNOLOGIES, INC.</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Condensed Consolidated Balance Sheets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March 31,</w:t>
              <w:b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December 31,</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31,176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72,291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68,328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49,608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5,787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13,149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22,476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2"/>
              </w:rPr>
            </w:pPr>
            <w:r>
              <w:rPr>
                <w:rFonts w:ascii="sans-serif" w:hAnsi="sans-serif"/>
                <w:color w:val="000000"/>
                <w:sz w:val="22"/>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122,091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153,525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5,480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12,845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147,300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179,701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Accrued 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13,945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Lease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3,989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2"/>
              </w:rPr>
            </w:pPr>
            <w:r>
              <w:rPr>
                <w:rFonts w:ascii="sans-serif" w:hAnsi="sans-serif"/>
                <w:color w:val="000000"/>
                <w:sz w:val="22"/>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29,817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35,869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Lease liability,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4,213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96,793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96,693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29,261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29,711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159,709</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166,486</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779,883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770,502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(792,268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(757,289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(12,409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147,300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179,701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8"/>
        <w:gridCol w:w="946"/>
        <w:gridCol w:w="260"/>
        <w:gridCol w:w="1484"/>
        <w:gridCol w:w="199"/>
        <w:gridCol w:w="148"/>
        <w:gridCol w:w="260"/>
        <w:gridCol w:w="1484"/>
        <w:gridCol w:w="996"/>
      </w:tblGrid>
      <w:tr>
        <w:trPr/>
        <w:tc>
          <w:tcPr>
            <w:tcW w:w="442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92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AEVA TECHNOLOGIES, INC.</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Condensed Consolidated Statements of Operations</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(In thousands, except share and per share data)</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March 31,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Product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Professional service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887</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revenues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6,262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3,368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revenues: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 xml:space="preserve">Product </w:t>
            </w:r>
            <w:r>
              <w:rPr>
                <w:rFonts w:ascii="sans-serif" w:hAnsi="sans-serif"/>
                <w:color w:val="000000"/>
                <w:sz w:val="15"/>
              </w:rPr>
              <w:t>(1)</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3,037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2,583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 xml:space="preserve">Professional service </w:t>
            </w:r>
            <w:r>
              <w:rPr>
                <w:rFonts w:ascii="sans-serif" w:hAnsi="sans-serif"/>
                <w:color w:val="000000"/>
                <w:sz w:val="15"/>
              </w:rPr>
              <w:t>(1)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1,284</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475</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cost of revenues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4,321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3,058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Gross profit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310</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Research and development expenses</w:t>
            </w:r>
            <w:r>
              <w:rPr>
                <w:rFonts w:ascii="Times New Roman" w:hAnsi="Times New Roman"/>
                <w:color w:val="000000"/>
                <w:sz w:val="22"/>
              </w:rPr>
              <w:t> </w:t>
            </w:r>
            <w:r>
              <w:rPr>
                <w:rFonts w:ascii="sans-serif" w:hAnsi="sans-serif"/>
                <w:color w:val="000000"/>
                <w:sz w:val="15"/>
              </w:rPr>
              <w:t>(1)</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22,826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21,569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General and administrative expenses</w:t>
            </w:r>
            <w:r>
              <w:rPr>
                <w:rFonts w:ascii="Times New Roman" w:hAnsi="Times New Roman"/>
                <w:color w:val="000000"/>
                <w:sz w:val="22"/>
              </w:rPr>
              <w:t> </w:t>
            </w:r>
            <w:r>
              <w:rPr>
                <w:rFonts w:ascii="sans-serif" w:hAnsi="sans-serif"/>
                <w:color w:val="000000"/>
                <w:sz w:val="15"/>
              </w:rPr>
              <w:t>(1)</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7,217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 xml:space="preserve">Selling and marketing expenses </w:t>
            </w:r>
            <w:r>
              <w:rPr>
                <w:rFonts w:ascii="sans-serif" w:hAnsi="sans-serif"/>
                <w:color w:val="000000"/>
                <w:sz w:val="15"/>
              </w:rPr>
              <w:t>(1)</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1,899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1,942</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Total operating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37,077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30,728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from operation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(35,136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(30,418</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income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1,007</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 in fair value of warrant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(5,400</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income, net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 before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(34,947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(34,810</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provision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(34,979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(34,867</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Net loss per share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Basic</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(0.64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Diluted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(0.64</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Weighted-average shares used in computing net loss per share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Basic</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62,808,102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54,750,088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Diluted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62,808,102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54,750,088</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15"/>
              </w:rPr>
              <w:t>(1)</w:t>
            </w:r>
            <w:r>
              <w:rPr>
                <w:rFonts w:ascii="Times New Roman" w:hAnsi="Times New Roman"/>
                <w:color w:val="000000"/>
                <w:sz w:val="22"/>
              </w:rPr>
              <w:t> </w:t>
            </w:r>
            <w:r>
              <w:rPr>
                <w:rFonts w:ascii="sans-serif" w:hAnsi="sans-serif"/>
                <w:color w:val="000000"/>
                <w:sz w:val="22"/>
              </w:rPr>
              <w:t>Includes stock-based compensation as follows: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March 31,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revenues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Research and development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3,998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2,977</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General and administrative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1,376</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Selling and marketing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180</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stock-based compensation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9,365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4,564</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AEVA TECHNOLOGIES,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Cash Flows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1"/>
        <w:gridCol w:w="5839"/>
        <w:gridCol w:w="146"/>
        <w:gridCol w:w="301"/>
        <w:gridCol w:w="1205"/>
        <w:gridCol w:w="231"/>
        <w:gridCol w:w="172"/>
        <w:gridCol w:w="301"/>
        <w:gridCol w:w="1205"/>
        <w:gridCol w:w="244"/>
      </w:tblGrid>
      <w:tr>
        <w:trPr/>
        <w:tc>
          <w:tcPr>
            <w:tcW w:w="561" w:type="dxa"/>
            <w:tcBorders/>
            <w:vAlign w:val="center"/>
          </w:tcPr>
          <w:p>
            <w:pPr>
              <w:pStyle w:val="TableContents"/>
              <w:bidi w:val="0"/>
              <w:spacing w:before="0" w:after="283"/>
              <w:jc w:val="left"/>
              <w:rPr>
                <w:sz w:val="4"/>
                <w:szCs w:val="4"/>
              </w:rPr>
            </w:pPr>
            <w:r>
              <w:rPr>
                <w:sz w:val="4"/>
                <w:szCs w:val="4"/>
              </w:rPr>
            </w:r>
          </w:p>
        </w:tc>
        <w:tc>
          <w:tcPr>
            <w:tcW w:w="5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March 31,</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(34,979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(34,867</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1,388</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5,400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9,365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4,564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Amortization of premium and accretion of discount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(477</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Accretion of convertible notes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Impairment of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(1,570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3,827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1,634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(2,454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Accrued employee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(6,099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(1,071</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1,542</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(3,166</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(25,848</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(30,792</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Purchase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(36,761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(15,969</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18,500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39,750</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(20,486</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23,322</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equity-related funding in connection with the JDA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5,500</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Payments of taxes withheld on net settled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Transaction costs related to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5,219</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(183</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(41,115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(7,653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Beginning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72,291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28,864</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Ending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31,176</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21,211</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AEVA TECHNOLOGIES, INC.</w:t>
      </w:r>
    </w:p>
    <w:p>
      <w:pPr>
        <w:pStyle w:val="TextBody"/>
        <w:bidi w:val="0"/>
        <w:jc w:val="center"/>
        <w:rPr>
          <w:rFonts w:ascii="sans-serif" w:hAnsi="sans-serif"/>
          <w:b/>
          <w:color w:val="000000"/>
          <w:sz w:val="22"/>
        </w:rPr>
      </w:pPr>
      <w:r>
        <w:rPr>
          <w:rFonts w:ascii="sans-serif" w:hAnsi="sans-serif"/>
          <w:b/>
          <w:color w:val="000000"/>
          <w:sz w:val="22"/>
        </w:rPr>
        <w:t>Reconciliation of GAAP to Non-GAAP Operating Results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80"/>
        <w:gridCol w:w="146"/>
        <w:gridCol w:w="267"/>
        <w:gridCol w:w="1522"/>
        <w:gridCol w:w="204"/>
        <w:gridCol w:w="152"/>
        <w:gridCol w:w="267"/>
        <w:gridCol w:w="1522"/>
        <w:gridCol w:w="245"/>
      </w:tblGrid>
      <w:tr>
        <w:trPr/>
        <w:tc>
          <w:tcPr>
            <w:tcW w:w="5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Reconciliation from GAAP to non-GAAP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March 31,</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GAAP 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(35,136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(30,418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9,365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4,564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Non-GAAP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(25,771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(25,854</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Reconciliation from GAAP to 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March 31,</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GAAP 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(34,979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(34,867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9,365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4,564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5,400</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(26,064</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(24,903</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Reconciliation between GAAP and non-GAAP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March 31,</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Shares used in computing GAAP net loss per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8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62,808,102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54,750,088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GAAP net loss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89"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(0.64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88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Stock-based compensation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0.16</w:t>
            </w:r>
          </w:p>
        </w:tc>
        <w:tc>
          <w:tcPr>
            <w:tcW w:w="2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0.09</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Non-GAAP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2801</Words>
  <Characters>15689</Characters>
  <CharactersWithSpaces>18838</CharactersWithSpaces>
  <Paragraphs>1440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