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1951d8k.htm"/>
      <w:bookmarkStart w:id="1" w:name="ksd2195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center"/>
        <w:rPr>
          <w:rFonts w:ascii="Times New Roman" w:hAnsi="Times New Roman"/>
          <w:b/>
          <w:sz w:val="24"/>
        </w:rPr>
      </w:pPr>
      <w:r>
        <w:rPr>
          <w:rFonts w:ascii="Times New Roman" w:hAnsi="Times New Roman"/>
          <w:b/>
          <w:sz w:val="24"/>
        </w:rPr>
        <w:t>November 4,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Aeva Technologies,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40" w:type="dxa"/>
        <w:jc w:val="left"/>
        <w:tblInd w:w="0" w:type="dxa"/>
        <w:tblLayout w:type="fixed"/>
        <w:tblCellMar>
          <w:top w:w="0" w:type="dxa"/>
          <w:left w:w="0" w:type="dxa"/>
          <w:bottom w:w="0" w:type="dxa"/>
          <w:right w:w="0" w:type="dxa"/>
        </w:tblCellMar>
      </w:tblPr>
      <w:tblGrid>
        <w:gridCol w:w="1985"/>
        <w:gridCol w:w="60"/>
        <w:gridCol w:w="1055"/>
        <w:gridCol w:w="60"/>
        <w:gridCol w:w="188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001-39204</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84-3080757</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180" w:after="0"/>
        <w:jc w:val="center"/>
        <w:rPr>
          <w:rFonts w:ascii="Times New Roman" w:hAnsi="Times New Roman"/>
          <w:b/>
          <w:sz w:val="20"/>
        </w:rPr>
      </w:pPr>
      <w:r>
        <w:rPr>
          <w:rFonts w:ascii="Times New Roman" w:hAnsi="Times New Roman"/>
          <w:b/>
          <w:sz w:val="20"/>
        </w:rPr>
        <w:t>555 Ellis Street</w:t>
      </w:r>
    </w:p>
    <w:p>
      <w:pPr>
        <w:pStyle w:val="TextBody"/>
        <w:bidi w:val="0"/>
        <w:spacing w:before="0" w:after="0"/>
        <w:jc w:val="center"/>
        <w:rPr>
          <w:rFonts w:ascii="Times New Roman" w:hAnsi="Times New Roman"/>
          <w:b/>
          <w:sz w:val="20"/>
        </w:rPr>
      </w:pPr>
      <w:r>
        <w:rPr>
          <w:rFonts w:ascii="Times New Roman" w:hAnsi="Times New Roman"/>
          <w:b/>
          <w:sz w:val="20"/>
        </w:rPr>
        <w:t>Mountain View, California 94043</w:t>
      </w:r>
    </w:p>
    <w:p>
      <w:pPr>
        <w:pStyle w:val="TextBody"/>
        <w:bidi w:val="0"/>
        <w:spacing w:before="0" w:after="0"/>
        <w:jc w:val="center"/>
        <w:rPr>
          <w:rFonts w:ascii="Times New Roman" w:hAnsi="Times New Roman"/>
          <w:b/>
          <w:sz w:val="20"/>
        </w:rPr>
      </w:pPr>
      <w:r>
        <w:rPr>
          <w:rFonts w:ascii="Times New Roman" w:hAnsi="Times New Roman"/>
          <w:b/>
          <w:sz w:val="20"/>
        </w:rPr>
        <w:t>(650) 481-7070</w:t>
      </w:r>
    </w:p>
    <w:p>
      <w:pPr>
        <w:pStyle w:val="TextBody"/>
        <w:bidi w:val="0"/>
        <w:spacing w:before="0" w:after="0"/>
        <w:jc w:val="center"/>
        <w:rPr>
          <w:rFonts w:ascii="Times New Roman" w:hAnsi="Times New Roman"/>
          <w:b/>
          <w:sz w:val="16"/>
        </w:rPr>
      </w:pPr>
      <w:r>
        <w:rPr>
          <w:rFonts w:ascii="Times New Roman" w:hAnsi="Times New Roman"/>
          <w:b/>
          <w:sz w:val="16"/>
        </w:rPr>
        <w:t>(Address, including zip code, and telephone number,</w:t>
      </w:r>
    </w:p>
    <w:p>
      <w:pPr>
        <w:pStyle w:val="TextBody"/>
        <w:bidi w:val="0"/>
        <w:spacing w:before="0" w:after="0"/>
        <w:jc w:val="center"/>
        <w:rPr>
          <w:rFonts w:ascii="Times New Roman" w:hAnsi="Times New Roman"/>
          <w:b/>
          <w:sz w:val="16"/>
        </w:rPr>
      </w:pPr>
      <w:r>
        <w:rPr>
          <w:rFonts w:ascii="Times New Roman" w:hAnsi="Times New Roman"/>
          <w:b/>
          <w:sz w:val="16"/>
        </w:rPr>
        <w:t>including area code, of registrant’s principal executive offices)</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985" w:type="dxa"/>
        <w:jc w:val="left"/>
        <w:tblInd w:w="0" w:type="dxa"/>
        <w:tblLayout w:type="fixed"/>
        <w:tblCellMar>
          <w:top w:w="0" w:type="dxa"/>
          <w:left w:w="0" w:type="dxa"/>
          <w:bottom w:w="0" w:type="dxa"/>
          <w:right w:w="0" w:type="dxa"/>
        </w:tblCellMar>
      </w:tblPr>
      <w:tblGrid>
        <w:gridCol w:w="4685"/>
        <w:gridCol w:w="60"/>
        <w:gridCol w:w="1130"/>
        <w:gridCol w:w="60"/>
        <w:gridCol w:w="3050"/>
      </w:tblGrid>
      <w:tr>
        <w:trPr/>
        <w:tc>
          <w:tcPr>
            <w:tcW w:w="4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6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68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AEVA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4685" w:type="dxa"/>
            <w:tcBorders/>
            <w:vAlign w:val="center"/>
          </w:tcPr>
          <w:p>
            <w:pPr>
              <w:pStyle w:val="TableContents"/>
              <w:bidi w:val="0"/>
              <w:spacing w:before="0" w:after="283"/>
              <w:jc w:val="center"/>
              <w:rPr/>
            </w:pPr>
            <w:r>
              <w:rPr/>
              <w:t>Warrants to purchase one share of common stock</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pPr>
            <w:r>
              <w:rPr/>
              <w:t>AEVA.WS</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righ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i/>
          <w:sz w:val="20"/>
        </w:rPr>
      </w:pPr>
      <w:r>
        <w:rPr>
          <w:rFonts w:ascii="Times New Roman" w:hAnsi="Times New Roman"/>
          <w:i/>
          <w:sz w:val="20"/>
        </w:rPr>
        <w:t xml:space="preserve">Securities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November 4, 2025, Aeva Technologies, Inc. (the “Company”) entered into a Securities Purchase Agreement (the “Securities Purchase Agreement”) with certain funds affiliated with Apollo Global Securities, LLC (the “Apollo Funds”) relating to the sale by Company to the Apollo Funds of $100.0 million aggregate principal amount of the Company’s 4.375% Convertible Senior Notes due 2032 (the “Notes”). The Notes are guaranteed by Aeva, Inc., a wholly owned subsidiary of the Company. The transactions contemplated by the Securities Purchase Agreement closed on November 6, 2025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 gross proceeds from the sale of the Notes were approximately $100.0 million, prior to deducting fees and estimated offering expenses. The Company intends to use the net proceeds from this sale for general corporate purposes. </w:t>
      </w:r>
    </w:p>
    <w:p>
      <w:pPr>
        <w:pStyle w:val="TextBody"/>
        <w:bidi w:val="0"/>
        <w:spacing w:before="360" w:after="0"/>
        <w:jc w:val="left"/>
        <w:rPr>
          <w:rFonts w:ascii="Times New Roman" w:hAnsi="Times New Roman"/>
          <w:i/>
          <w:sz w:val="20"/>
        </w:rPr>
      </w:pPr>
      <w:r>
        <w:rPr>
          <w:rFonts w:ascii="Times New Roman" w:hAnsi="Times New Roman"/>
          <w:i/>
          <w:sz w:val="20"/>
        </w:rPr>
        <w:t xml:space="preserve">The Indenture and Issuance of Convertible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were issued pursuant to an indenture, dated as of November 6, 2025 (the “Indenture”), by and among the Company, Aeva, Inc., as guarantor, and U.S. Bank Trust Company, National Association, as trustee (the “Trustee”) and are senior, unsecured obligations of the Company. Interest on the Notes began accruing on the Closing Date and is payable semi-annually in arrears on May 15 and November 15 of each year, beginning on May 15, 2026, at a rate of 4.375% per year. The Company may elect to pay interest on the Notes (i) by paying an amount in cash (“Cash Interest”) on such interest payment date equal to all interest accrued from, and including, the immediately preceding date on the principal amount (the “Interest Amount”) or (ii) by the issuance of a number of shares of common stock, $0.0001 par value per share (“Common Stock”) equal to the Interest Amount based on the daily VWAP for the eight trading days prior to the date two trading days prior to the relevant interest payment date (“Share Interest”) or (iii) any combination of Cash Interest and Share Interest. The Notes will mature on November 15, 2032 (the “Maturity Date”), unless earlier redeemed or repurchased by the Company or converted. </w:t>
      </w:r>
    </w:p>
    <w:p>
      <w:pPr>
        <w:pStyle w:val="TextBody"/>
        <w:bidi w:val="0"/>
        <w:spacing w:before="240" w:after="0"/>
        <w:jc w:val="left"/>
        <w:rPr>
          <w:rFonts w:ascii="Times New Roman" w:hAnsi="Times New Roman"/>
          <w:sz w:val="20"/>
        </w:rPr>
      </w:pPr>
      <w:r>
        <w:rPr>
          <w:rFonts w:ascii="Times New Roman" w:hAnsi="Times New Roman"/>
          <w:sz w:val="20"/>
        </w:rPr>
        <w:t>The Notes are convertible at the option of the Note holders (the “Holders”) at any time prior to the close of business on the Scheduled Trading Day (as defined in the Indenture) immediately preceding the Maturity Date at an initial conversion rate for the Notes is 63.0348 shares of Common Stock per $1,000 principal amount of Notes (which is equal to an initial conversion price of approximately $15.8643 per share of Common Stock) and is subject to adjustment upon the occurrence of certain customary events as set forth in the Indenture (the “Conversion Price”). Upon notice that a Holder has decided to convert its Note, the Company may satisfy its Conversion Obligation (as defined in the Indenture) by paying or delivering, as the case may be, to such converting Holder, in respect of each $1,000 principal amount of Notes being converted, cash, shares of Common Stock, or a combination of cash and shares of Common Stock, at its election. Holders of the Notes who convert their Notes in connection with a make-whole fundamental change (as defined in the Indenture) or convert their Notes called for redemption in connection with any optional redemption are, under certain circumstances, entitled to an increase in the conversion rate.</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have the option to redeem the Notes at any time on or after November 20, 2028, if the last reported sale price per Common Stock exceeds 130% of the then effective Conversion Price for 20 trading days during the 30 consecutive trading days ending on, and including, the trading day immediately before the date the Company sends notice of its intent to redeem the Notes, at a cash redemption price equal to the principal amount of the Notes to be redeemed, plus accrued and unpaid interest thereon (the “Optional Redemption”). The Company may redeem for cash all of the Notes, at a redemption price equal to the principal amount of the Notes to be redeemed, plus accrued and unpaid interest thereon, if at any time less than 10% of the aggregate principal amount of the Notes initially issued on the date of the Indenture remain outstanding. Except as provided in the immediately preceding sentence, the Notes are not redeemable prior to November 20, 2028. The conversion rate on any Notes that are converted following a notice of redemption will be subject to a “make-whole” adjustment pursuant to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administrative conditions set forth in the Indenture, upon the occurrence of a Fundamental Change (as defined in the Indenture), each of the Holders shall have the right at such Holder’s option to require the Company to repurchase in cash all of such Holder’s Notes or any portion of the principal amount thereof which is equal to $1,000 or an integral multiple of $1,000 at a repurchase price equal to 100% of the principal amount thereof, plus accrued and unpaid interest thereon.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Notes will have customary provisions relating to the occurrence of “Events of Default” (as defined in the Indenture), which include the following: (i) default in the payment of principal of or any premium on any Note when due and payable on the Maturity Date, upon Optional Redemption, upon any required repurchase, upon declaration of acceleration or otherwise, (ii) default in any payment of (x) interest on any Note when due and payable, and the default continues for a period of 10 days or (y) any fees, expenses, indemnification payments or other amounts due to the Holders pursuant to the Note Documents (as defined in the Indenture) and the default continues for a period of 30 days, (iii) failure by the Company to comply with its obligation to convert the Notes under the Indenture upon exercise of a Holder’s conversion right and such failure continues for three business days; (iv) failure by the Company to provide certain notices as required by the Indenture, (v) certain defaults by the Company or any of its subsidiaries with respect to indebtedness for borrowed money with a principal amount in excess of $15.0 million and (vi) certain events of bankruptcy, insolvency, dissolution, and reorganization involving the Company or any Significant Subsidiary (as defined in the Indenture) (vii) any money judgment, writ or warrant of attachment or similar process involving an amount in excess of $10.0 million to the extent not covered by insurance.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involving certain events of bankruptcy, insolvency or reorganization with respect to the Company occurs and is continuing, 100% of the principal of, and accrued and unpaid interest on, all Notes shall become and shall automatically be immediately due and payable. If any other Event of Default occurs and is continuing, either the Trustee, by notice to the Company, or the holders of at least 25% of the aggregate principal amount of the Notes then outstanding, may declare the principal amount of, and all accrued and unpaid interest on, all of the Notes then outstanding to become due and payable immediately. </w:t>
      </w:r>
    </w:p>
    <w:p>
      <w:pPr>
        <w:pStyle w:val="TextBody"/>
        <w:bidi w:val="0"/>
        <w:spacing w:before="240" w:after="0"/>
        <w:jc w:val="left"/>
        <w:rPr>
          <w:rFonts w:ascii="Times New Roman" w:hAnsi="Times New Roman"/>
          <w:sz w:val="20"/>
        </w:rPr>
      </w:pPr>
      <w:r>
        <w:rPr>
          <w:rFonts w:ascii="Times New Roman" w:hAnsi="Times New Roman"/>
          <w:sz w:val="20"/>
        </w:rPr>
        <w:t xml:space="preserve">A copy of the Indenture, and form of Note are filed as Exhibits 4.1 and 4.2, respectively, to this Current Report on Form 8-K and are incorporated by reference herein. The foregoing description of the Indenture and Notes does not purport to be complete and is qualified in its entirety by reference to such exhibits. </w:t>
      </w:r>
    </w:p>
    <w:p>
      <w:pPr>
        <w:pStyle w:val="TextBody"/>
        <w:bidi w:val="0"/>
        <w:spacing w:before="360" w:after="0"/>
        <w:jc w:val="left"/>
        <w:rPr>
          <w:rFonts w:ascii="Times New Roman" w:hAnsi="Times New Roman"/>
          <w:b/>
          <w:sz w:val="20"/>
        </w:rPr>
      </w:pPr>
      <w:r>
        <w:rPr>
          <w:rFonts w:ascii="Times New Roman" w:hAnsi="Times New Roman"/>
          <w:b/>
          <w:sz w:val="20"/>
        </w:rPr>
        <w:t xml:space="preserve">Item 2.03. Creation of a Direct Financial Obligation or an Obligation under an Off-Balance Sheet Arrangement of a Registrant.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1.01 of this Current Report on Form 8-K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3.02. Unregistered Sales of Equity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offered and sold the Notes to the Apollo Funds in reliance on the exemption from registration provided by Section 4(a)(2) of the Securities Act, and for resale by the Apollo Funds to persons reasonably believed to be qualified institutional buyers pursuant to the exemption from registration provided by Rule 144A under the Securities Act. The Company relied on these exemptions from registration based in part on representations made by the Apollo Funds. Any Common Stock that may be issued upon conversion of the Notes will be issued in reliance upon Section 3(a)(9) of the Securities Act as involving an exchange by the Company exclusively with its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related to the issuance of the Notes contained in Item 1.01 of this Current Report on Form 8-K is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does not constitute an offer to sell, or a solicitation of an offer to buy, any security and will not constitute an offer, solicitation, or sale in any jurisdiction in which such offering would be unlawful.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1951dex41.htm">
              <w:r>
                <w:rPr>
                  <w:rStyle w:val="InternetLink"/>
                </w:rPr>
                <w:t xml:space="preserve">Indenture (including Form of Note) with respect to Aeva Technologies, Inc.’s 4.375% Convertible Senior Notes due 2032, dated November 6, 2025, by and between the Company, Aeva, Inc. and U.S. Bank Trust Company, National Association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1951dex41.htm">
              <w:r>
                <w:rPr>
                  <w:rStyle w:val="InternetLink"/>
                </w:rPr>
                <w:t xml:space="preserve">Form of 4.375% Convertible Senior Notes due 2032 (included in Exhibit 4.1)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408" w:type="dxa"/>
        <w:jc w:val="left"/>
        <w:tblInd w:w="0" w:type="dxa"/>
        <w:tblLayout w:type="fixed"/>
        <w:tblCellMar>
          <w:top w:w="0" w:type="dxa"/>
          <w:left w:w="0" w:type="dxa"/>
          <w:bottom w:w="0" w:type="dxa"/>
          <w:right w:w="0" w:type="dxa"/>
        </w:tblCellMar>
      </w:tblPr>
      <w:tblGrid>
        <w:gridCol w:w="2390"/>
        <w:gridCol w:w="60"/>
        <w:gridCol w:w="23"/>
        <w:gridCol w:w="60"/>
        <w:gridCol w:w="365"/>
        <w:gridCol w:w="60"/>
        <w:gridCol w:w="2450"/>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b/>
              </w:rPr>
            </w:pPr>
            <w:r>
              <w:rPr>
                <w:b/>
              </w:rPr>
              <w:t>Aeva Technologies, Inc.</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510"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 November 6,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Saurabh Sinha</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Saurabh Sinha</w:t>
            </w:r>
          </w:p>
          <w:p>
            <w:pPr>
              <w:pStyle w:val="TableContents"/>
              <w:bidi w:val="0"/>
              <w:spacing w:before="0" w:after="2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0"/>
        <w:jc w:val="right"/>
        <w:rPr>
          <w:rFonts w:ascii="Times New Roman" w:hAnsi="Times New Roman"/>
          <w:b/>
          <w:sz w:val="20"/>
        </w:rPr>
      </w:pPr>
      <w:bookmarkStart w:id="2" w:name="d21951dex41.htm"/>
      <w:bookmarkStart w:id="3" w:name="ksd21951dex41"/>
      <w:bookmarkEnd w:id="2"/>
      <w:bookmarkEnd w:id="3"/>
      <w:r>
        <w:rPr>
          <w:rFonts w:ascii="Times New Roman" w:hAnsi="Times New Roman"/>
          <w:b/>
          <w:sz w:val="20"/>
        </w:rPr>
        <w:t xml:space="preserve">Exhibit 4.1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AEVA TECHNOLOGIES, INC., </w:t>
      </w:r>
    </w:p>
    <w:p>
      <w:pPr>
        <w:pStyle w:val="TextBody"/>
        <w:bidi w:val="0"/>
        <w:spacing w:before="240" w:after="0"/>
        <w:jc w:val="center"/>
        <w:rPr>
          <w:rFonts w:ascii="Times New Roman" w:hAnsi="Times New Roman"/>
          <w:sz w:val="20"/>
        </w:rPr>
      </w:pPr>
      <w:r>
        <w:rPr>
          <w:rFonts w:ascii="Times New Roman" w:hAnsi="Times New Roman"/>
          <w:sz w:val="20"/>
        </w:rPr>
        <w:t xml:space="preserve">THE GUARANTORS PARTY HERETO FROM TIME TO TIME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240" w:after="0"/>
        <w:jc w:val="center"/>
        <w:rPr>
          <w:rFonts w:ascii="Times New Roman" w:hAnsi="Times New Roman"/>
          <w:sz w:val="20"/>
        </w:rPr>
      </w:pPr>
      <w:r>
        <w:rPr>
          <w:rFonts w:ascii="Times New Roman" w:hAnsi="Times New Roman"/>
          <w:sz w:val="20"/>
        </w:rPr>
        <w:t xml:space="preserve">as Trustee </w:t>
      </w:r>
    </w:p>
    <w:p>
      <w:pPr>
        <w:pStyle w:val="TextBody"/>
        <w:bidi w:val="0"/>
        <w:spacing w:before="240" w:after="0"/>
        <w:jc w:val="center"/>
        <w:rPr>
          <w:rFonts w:ascii="Times New Roman" w:hAnsi="Times New Roman"/>
          <w:sz w:val="20"/>
        </w:rPr>
      </w:pPr>
      <w:r>
        <w:rPr>
          <w:rFonts w:ascii="Times New Roman" w:hAnsi="Times New Roman"/>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November 6, 2025 </w:t>
      </w:r>
    </w:p>
    <w:p>
      <w:pPr>
        <w:pStyle w:val="TextBody"/>
        <w:bidi w:val="0"/>
        <w:spacing w:before="240" w:after="0"/>
        <w:jc w:val="center"/>
        <w:rPr>
          <w:rFonts w:ascii="Times New Roman" w:hAnsi="Times New Roman"/>
          <w:sz w:val="20"/>
        </w:rPr>
      </w:pPr>
      <w:r>
        <w:rPr>
          <w:rFonts w:ascii="Times New Roman" w:hAnsi="Times New Roman"/>
          <w:sz w:val="20"/>
        </w:rPr>
        <w:t xml:space="preserve">4.375% Convertible Senior Notes due 2032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20"/>
        <w:gridCol w:w="272"/>
        <w:gridCol w:w="102"/>
        <w:gridCol w:w="449"/>
        <w:gridCol w:w="62"/>
      </w:tblGrid>
      <w:tr>
        <w:trPr/>
        <w:tc>
          <w:tcPr>
            <w:tcW w:w="9320"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2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551" w:type="dxa"/>
            <w:gridSpan w:val="2"/>
            <w:tcBorders>
              <w:bottom w:val="single" w:sz="8" w:space="0" w:color="000000"/>
            </w:tcBorders>
            <w:tcMar>
              <w:bottom w:w="28" w:type="dxa"/>
            </w:tcMar>
            <w:vAlign w:val="bottom"/>
          </w:tcPr>
          <w:p>
            <w:pPr>
              <w:pStyle w:val="TableContents"/>
              <w:bidi w:val="0"/>
              <w:spacing w:before="0" w:after="283"/>
              <w:jc w:val="center"/>
              <w:rPr/>
            </w:pPr>
            <w:r>
              <w:rPr/>
              <w:t>P</w:t>
            </w:r>
            <w:r>
              <w:rPr>
                <w:sz w:val="20"/>
              </w:rPr>
              <w:t>AGE</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tcPr>
          <w:p>
            <w:pPr>
              <w:pStyle w:val="TableContents"/>
              <w:bidi w:val="0"/>
              <w:spacing w:before="0" w:after="283"/>
              <w:jc w:val="center"/>
              <w:rPr/>
            </w:pPr>
            <w:r>
              <w:rPr/>
              <w:t>ARTICLE 1</w:t>
            </w:r>
          </w:p>
        </w:tc>
        <w:tc>
          <w:tcPr>
            <w:tcW w:w="62" w:type="dxa"/>
            <w:tcBorders/>
          </w:tcPr>
          <w:p>
            <w:pPr>
              <w:pStyle w:val="TableContents"/>
              <w:bidi w:val="0"/>
              <w:spacing w:before="0" w:after="0"/>
              <w:jc w:val="left"/>
              <w:rPr/>
            </w:pPr>
            <w:r>
              <w:rPr/>
              <w:t> </w:t>
            </w:r>
          </w:p>
        </w:tc>
      </w:tr>
      <w:tr>
        <w:trPr/>
        <w:tc>
          <w:tcPr>
            <w:tcW w:w="10143" w:type="dxa"/>
            <w:gridSpan w:val="4"/>
            <w:tcBorders/>
          </w:tcPr>
          <w:p>
            <w:pPr>
              <w:pStyle w:val="TableContents"/>
              <w:bidi w:val="0"/>
              <w:spacing w:before="0" w:after="283"/>
              <w:jc w:val="center"/>
              <w:rPr/>
            </w:pPr>
            <w:r>
              <w:rPr/>
              <w:t>D</w:t>
            </w:r>
            <w:r>
              <w:rPr>
                <w:sz w:val="20"/>
              </w:rPr>
              <w:t>EFINITIONS</w:t>
            </w:r>
          </w:p>
        </w:tc>
        <w:tc>
          <w:tcPr>
            <w:tcW w:w="62" w:type="dxa"/>
            <w:tcBorders/>
          </w:tcPr>
          <w:p>
            <w:pPr>
              <w:pStyle w:val="TableContents"/>
              <w:bidi w:val="0"/>
              <w:spacing w:before="0" w:after="0"/>
              <w:jc w:val="left"/>
              <w:rPr/>
            </w:pPr>
            <w:r>
              <w:rPr/>
              <w:t> </w:t>
            </w:r>
          </w:p>
        </w:tc>
      </w:tr>
      <w:tr>
        <w:trPr>
          <w:trHeight w:val="120" w:hRule="atLeast"/>
        </w:trPr>
        <w:tc>
          <w:tcPr>
            <w:tcW w:w="9320" w:type="dxa"/>
            <w:tcBorders/>
            <w:vAlign w:val="center"/>
          </w:tcPr>
          <w:p>
            <w:pPr>
              <w:pStyle w:val="TableContents"/>
              <w:bidi w:val="0"/>
              <w:spacing w:before="0" w:after="283"/>
              <w:jc w:val="left"/>
              <w:rPr>
                <w:sz w:val="4"/>
                <w:szCs w:val="4"/>
              </w:rPr>
            </w:pPr>
            <w:r>
              <w:rPr>
                <w:sz w:val="4"/>
                <w:szCs w:val="4"/>
              </w:rPr>
            </w:r>
          </w:p>
        </w:tc>
        <w:tc>
          <w:tcPr>
            <w:tcW w:w="885" w:type="dxa"/>
            <w:gridSpan w:val="4"/>
            <w:tcBorders/>
            <w:vAlign w:val="center"/>
          </w:tcPr>
          <w:p>
            <w:pPr>
              <w:pStyle w:val="TableContents"/>
              <w:bidi w:val="0"/>
              <w:spacing w:before="0" w:after="283"/>
              <w:jc w:val="left"/>
              <w:rPr>
                <w:sz w:val="4"/>
                <w:szCs w:val="4"/>
              </w:rPr>
            </w:pPr>
            <w:r>
              <w:rPr>
                <w:sz w:val="4"/>
                <w:szCs w:val="4"/>
              </w:rPr>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1.01 </w:t>
            </w:r>
            <w:r>
              <w:rPr>
                <w:rFonts w:ascii="Times New Roman" w:hAnsi="Times New Roman"/>
                <w:i/>
                <w:sz w:val="20"/>
              </w:rPr>
              <w:t>. Definitions</w:t>
            </w:r>
          </w:p>
        </w:tc>
        <w:tc>
          <w:tcPr>
            <w:tcW w:w="27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1.02 </w:t>
            </w:r>
            <w:r>
              <w:rPr>
                <w:rFonts w:ascii="Times New Roman" w:hAnsi="Times New Roman"/>
                <w:i/>
                <w:sz w:val="20"/>
              </w:rPr>
              <w:t>. References to Interest</w:t>
            </w:r>
          </w:p>
        </w:tc>
        <w:tc>
          <w:tcPr>
            <w:tcW w:w="27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tcPr>
          <w:p>
            <w:pPr>
              <w:pStyle w:val="TableContents"/>
              <w:bidi w:val="0"/>
              <w:spacing w:before="0" w:after="283"/>
              <w:jc w:val="center"/>
              <w:rPr/>
            </w:pPr>
            <w:r>
              <w:rPr/>
              <w:t>ARTICLE 2</w:t>
            </w:r>
          </w:p>
        </w:tc>
        <w:tc>
          <w:tcPr>
            <w:tcW w:w="62" w:type="dxa"/>
            <w:tcBorders/>
          </w:tcPr>
          <w:p>
            <w:pPr>
              <w:pStyle w:val="TableContents"/>
              <w:bidi w:val="0"/>
              <w:spacing w:before="0" w:after="0"/>
              <w:jc w:val="left"/>
              <w:rPr/>
            </w:pPr>
            <w:r>
              <w:rPr/>
              <w:t> </w:t>
            </w:r>
          </w:p>
        </w:tc>
      </w:tr>
      <w:tr>
        <w:trPr/>
        <w:tc>
          <w:tcPr>
            <w:tcW w:w="10143" w:type="dxa"/>
            <w:gridSpan w:val="4"/>
            <w:tcBorders/>
          </w:tcPr>
          <w:p>
            <w:pPr>
              <w:pStyle w:val="TableContents"/>
              <w:bidi w:val="0"/>
              <w:spacing w:before="0" w:after="283"/>
              <w:jc w:val="center"/>
              <w:rPr/>
            </w:pPr>
            <w:r>
              <w:rPr/>
              <w:t>I</w:t>
            </w:r>
            <w:r>
              <w:rPr>
                <w:sz w:val="20"/>
              </w:rPr>
              <w:t>SSUE</w:t>
            </w:r>
            <w:r>
              <w:rPr/>
              <w:t>, D</w:t>
            </w:r>
            <w:r>
              <w:rPr>
                <w:sz w:val="20"/>
              </w:rPr>
              <w:t>ESCRIPTION</w:t>
            </w:r>
            <w:r>
              <w:rPr/>
              <w:t>, E</w:t>
            </w:r>
            <w:r>
              <w:rPr>
                <w:sz w:val="20"/>
              </w:rPr>
              <w:t>XECUTION</w:t>
            </w:r>
            <w:r>
              <w:rPr/>
              <w:t>, R</w:t>
            </w:r>
            <w:r>
              <w:rPr>
                <w:sz w:val="20"/>
              </w:rPr>
              <w:t>EGISTRATION</w:t>
            </w:r>
            <w:r>
              <w:rPr/>
              <w:t xml:space="preserve"> </w:t>
            </w:r>
            <w:r>
              <w:rPr>
                <w:sz w:val="20"/>
              </w:rPr>
              <w:t>AND</w:t>
            </w:r>
            <w:r>
              <w:rPr/>
              <w:t xml:space="preserve"> E</w:t>
            </w:r>
            <w:r>
              <w:rPr>
                <w:sz w:val="20"/>
              </w:rPr>
              <w:t>XCHANGE</w:t>
            </w:r>
            <w:r>
              <w:rPr/>
              <w:t xml:space="preserve"> </w:t>
            </w:r>
            <w:r>
              <w:rPr>
                <w:sz w:val="20"/>
              </w:rPr>
              <w:t>OF</w:t>
            </w:r>
            <w:r>
              <w:rPr/>
              <w:t xml:space="preserve"> N</w:t>
            </w:r>
            <w:r>
              <w:rPr>
                <w:sz w:val="20"/>
              </w:rPr>
              <w:t>OTES</w:t>
            </w:r>
          </w:p>
        </w:tc>
        <w:tc>
          <w:tcPr>
            <w:tcW w:w="62" w:type="dxa"/>
            <w:tcBorders/>
          </w:tcPr>
          <w:p>
            <w:pPr>
              <w:pStyle w:val="TableContents"/>
              <w:bidi w:val="0"/>
              <w:spacing w:before="0" w:after="0"/>
              <w:jc w:val="left"/>
              <w:rPr/>
            </w:pPr>
            <w:r>
              <w:rPr/>
              <w:t xml:space="preserve">  </w:t>
            </w:r>
          </w:p>
        </w:tc>
      </w:tr>
      <w:tr>
        <w:trPr>
          <w:trHeight w:val="120" w:hRule="atLeast"/>
        </w:trPr>
        <w:tc>
          <w:tcPr>
            <w:tcW w:w="9320" w:type="dxa"/>
            <w:tcBorders/>
            <w:vAlign w:val="center"/>
          </w:tcPr>
          <w:p>
            <w:pPr>
              <w:pStyle w:val="TableContents"/>
              <w:bidi w:val="0"/>
              <w:spacing w:before="0" w:after="283"/>
              <w:jc w:val="left"/>
              <w:rPr>
                <w:sz w:val="4"/>
                <w:szCs w:val="4"/>
              </w:rPr>
            </w:pPr>
            <w:r>
              <w:rPr>
                <w:sz w:val="4"/>
                <w:szCs w:val="4"/>
              </w:rPr>
            </w:r>
          </w:p>
        </w:tc>
        <w:tc>
          <w:tcPr>
            <w:tcW w:w="885" w:type="dxa"/>
            <w:gridSpan w:val="4"/>
            <w:tcBorders/>
            <w:vAlign w:val="center"/>
          </w:tcPr>
          <w:p>
            <w:pPr>
              <w:pStyle w:val="TableContents"/>
              <w:bidi w:val="0"/>
              <w:spacing w:before="0" w:after="283"/>
              <w:jc w:val="left"/>
              <w:rPr>
                <w:sz w:val="4"/>
                <w:szCs w:val="4"/>
              </w:rPr>
            </w:pPr>
            <w:r>
              <w:rPr>
                <w:sz w:val="4"/>
                <w:szCs w:val="4"/>
              </w:rPr>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2.01 </w:t>
            </w:r>
            <w:r>
              <w:rPr>
                <w:rFonts w:ascii="Times New Roman" w:hAnsi="Times New Roman"/>
                <w:i/>
                <w:sz w:val="20"/>
              </w:rPr>
              <w:t>. Designation and Amount</w:t>
            </w:r>
          </w:p>
        </w:tc>
        <w:tc>
          <w:tcPr>
            <w:tcW w:w="27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2.02 </w:t>
            </w:r>
            <w:r>
              <w:rPr>
                <w:rFonts w:ascii="Times New Roman" w:hAnsi="Times New Roman"/>
                <w:i/>
                <w:sz w:val="20"/>
              </w:rPr>
              <w:t>. Form of Notes</w:t>
            </w:r>
          </w:p>
        </w:tc>
        <w:tc>
          <w:tcPr>
            <w:tcW w:w="27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2.03 </w:t>
            </w:r>
            <w:r>
              <w:rPr>
                <w:rFonts w:ascii="Times New Roman" w:hAnsi="Times New Roman"/>
                <w:i/>
                <w:sz w:val="20"/>
              </w:rPr>
              <w:t>. Date and Denomination of Notes; Payments of Interest and Defaulted Amounts</w:t>
            </w:r>
          </w:p>
        </w:tc>
        <w:tc>
          <w:tcPr>
            <w:tcW w:w="27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2.04 </w:t>
            </w:r>
            <w:r>
              <w:rPr>
                <w:rFonts w:ascii="Times New Roman" w:hAnsi="Times New Roman"/>
                <w:i/>
                <w:sz w:val="20"/>
              </w:rPr>
              <w:t>. Execution, Authentication and Delivery of Notes</w:t>
            </w:r>
          </w:p>
        </w:tc>
        <w:tc>
          <w:tcPr>
            <w:tcW w:w="27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2.05 </w:t>
            </w:r>
            <w:r>
              <w:rPr>
                <w:rFonts w:ascii="Times New Roman" w:hAnsi="Times New Roman"/>
                <w:i/>
                <w:sz w:val="20"/>
              </w:rPr>
              <w:t>. Exchange and Registration of Transfer of Notes; Restrictions on Transfer; Depositary</w:t>
            </w:r>
          </w:p>
        </w:tc>
        <w:tc>
          <w:tcPr>
            <w:tcW w:w="27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2.06 </w:t>
            </w:r>
            <w:r>
              <w:rPr>
                <w:rFonts w:ascii="Times New Roman" w:hAnsi="Times New Roman"/>
                <w:i/>
                <w:sz w:val="20"/>
              </w:rPr>
              <w:t>. Mutilated, Destroyed, Lost or Stolen Notes</w:t>
            </w:r>
          </w:p>
        </w:tc>
        <w:tc>
          <w:tcPr>
            <w:tcW w:w="27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2.07 </w:t>
            </w:r>
            <w:r>
              <w:rPr>
                <w:rFonts w:ascii="Times New Roman" w:hAnsi="Times New Roman"/>
                <w:i/>
                <w:sz w:val="20"/>
              </w:rPr>
              <w:t>. Temporary Notes</w:t>
            </w:r>
          </w:p>
        </w:tc>
        <w:tc>
          <w:tcPr>
            <w:tcW w:w="27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2.08 </w:t>
            </w:r>
            <w:r>
              <w:rPr>
                <w:rFonts w:ascii="Times New Roman" w:hAnsi="Times New Roman"/>
                <w:i/>
                <w:sz w:val="20"/>
              </w:rPr>
              <w:t>. Cancellation of Notes Paid, Converted, Etc.</w:t>
            </w:r>
          </w:p>
        </w:tc>
        <w:tc>
          <w:tcPr>
            <w:tcW w:w="27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2.09 </w:t>
            </w:r>
            <w:r>
              <w:rPr>
                <w:rFonts w:ascii="Times New Roman" w:hAnsi="Times New Roman"/>
                <w:i/>
                <w:sz w:val="20"/>
              </w:rPr>
              <w:t>. CUSIP Numbers</w:t>
            </w:r>
          </w:p>
        </w:tc>
        <w:tc>
          <w:tcPr>
            <w:tcW w:w="27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2.10 </w:t>
            </w:r>
            <w:r>
              <w:rPr>
                <w:rFonts w:ascii="Times New Roman" w:hAnsi="Times New Roman"/>
                <w:i/>
                <w:sz w:val="20"/>
              </w:rPr>
              <w:t>. Additional Notes; Repurchases</w:t>
            </w:r>
          </w:p>
        </w:tc>
        <w:tc>
          <w:tcPr>
            <w:tcW w:w="27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tcPr>
          <w:p>
            <w:pPr>
              <w:pStyle w:val="TableContents"/>
              <w:bidi w:val="0"/>
              <w:spacing w:before="0" w:after="283"/>
              <w:jc w:val="center"/>
              <w:rPr/>
            </w:pPr>
            <w:r>
              <w:rPr/>
              <w:t>ARTICLE 3</w:t>
            </w:r>
          </w:p>
        </w:tc>
        <w:tc>
          <w:tcPr>
            <w:tcW w:w="62" w:type="dxa"/>
            <w:tcBorders/>
          </w:tcPr>
          <w:p>
            <w:pPr>
              <w:pStyle w:val="TableContents"/>
              <w:bidi w:val="0"/>
              <w:spacing w:before="0" w:after="0"/>
              <w:jc w:val="left"/>
              <w:rPr/>
            </w:pPr>
            <w:r>
              <w:rPr/>
              <w:t> </w:t>
            </w:r>
          </w:p>
        </w:tc>
      </w:tr>
      <w:tr>
        <w:trPr/>
        <w:tc>
          <w:tcPr>
            <w:tcW w:w="10143" w:type="dxa"/>
            <w:gridSpan w:val="4"/>
            <w:tcBorders/>
          </w:tcPr>
          <w:p>
            <w:pPr>
              <w:pStyle w:val="TableContents"/>
              <w:bidi w:val="0"/>
              <w:spacing w:before="0" w:after="283"/>
              <w:jc w:val="center"/>
              <w:rPr/>
            </w:pPr>
            <w:r>
              <w:rPr/>
              <w:t>S</w:t>
            </w:r>
            <w:r>
              <w:rPr>
                <w:sz w:val="20"/>
              </w:rPr>
              <w:t>ATISFACTION</w:t>
            </w:r>
            <w:r>
              <w:rPr/>
              <w:t xml:space="preserve"> </w:t>
            </w:r>
            <w:r>
              <w:rPr>
                <w:sz w:val="20"/>
              </w:rPr>
              <w:t>AND</w:t>
            </w:r>
            <w:r>
              <w:rPr/>
              <w:t xml:space="preserve"> D</w:t>
            </w:r>
            <w:r>
              <w:rPr>
                <w:sz w:val="20"/>
              </w:rPr>
              <w:t>ISCHARGE</w:t>
            </w:r>
          </w:p>
        </w:tc>
        <w:tc>
          <w:tcPr>
            <w:tcW w:w="62" w:type="dxa"/>
            <w:tcBorders/>
          </w:tcPr>
          <w:p>
            <w:pPr>
              <w:pStyle w:val="TableContents"/>
              <w:bidi w:val="0"/>
              <w:spacing w:before="0" w:after="0"/>
              <w:jc w:val="left"/>
              <w:rPr/>
            </w:pPr>
            <w:r>
              <w:rPr/>
              <w:t> </w:t>
            </w:r>
          </w:p>
        </w:tc>
      </w:tr>
      <w:tr>
        <w:trPr>
          <w:trHeight w:val="120" w:hRule="atLeast"/>
        </w:trPr>
        <w:tc>
          <w:tcPr>
            <w:tcW w:w="9320" w:type="dxa"/>
            <w:tcBorders/>
            <w:vAlign w:val="center"/>
          </w:tcPr>
          <w:p>
            <w:pPr>
              <w:pStyle w:val="TableContents"/>
              <w:bidi w:val="0"/>
              <w:spacing w:before="0" w:after="283"/>
              <w:jc w:val="left"/>
              <w:rPr>
                <w:sz w:val="4"/>
                <w:szCs w:val="4"/>
              </w:rPr>
            </w:pPr>
            <w:r>
              <w:rPr>
                <w:sz w:val="4"/>
                <w:szCs w:val="4"/>
              </w:rPr>
            </w:r>
          </w:p>
        </w:tc>
        <w:tc>
          <w:tcPr>
            <w:tcW w:w="885" w:type="dxa"/>
            <w:gridSpan w:val="4"/>
            <w:tcBorders/>
            <w:vAlign w:val="center"/>
          </w:tcPr>
          <w:p>
            <w:pPr>
              <w:pStyle w:val="TableContents"/>
              <w:bidi w:val="0"/>
              <w:spacing w:before="0" w:after="283"/>
              <w:jc w:val="left"/>
              <w:rPr>
                <w:sz w:val="4"/>
                <w:szCs w:val="4"/>
              </w:rPr>
            </w:pPr>
            <w:r>
              <w:rPr>
                <w:sz w:val="4"/>
                <w:szCs w:val="4"/>
              </w:rPr>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3.01 </w:t>
            </w:r>
            <w:r>
              <w:rPr>
                <w:rFonts w:ascii="Times New Roman" w:hAnsi="Times New Roman"/>
                <w:i/>
                <w:sz w:val="20"/>
              </w:rPr>
              <w:t>. Satisfaction and Discharge</w:t>
            </w:r>
          </w:p>
        </w:tc>
        <w:tc>
          <w:tcPr>
            <w:tcW w:w="27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tcPr>
          <w:p>
            <w:pPr>
              <w:pStyle w:val="TableContents"/>
              <w:bidi w:val="0"/>
              <w:spacing w:before="0" w:after="283"/>
              <w:jc w:val="center"/>
              <w:rPr/>
            </w:pPr>
            <w:r>
              <w:rPr/>
              <w:t>ARTICLE 4</w:t>
            </w:r>
          </w:p>
        </w:tc>
        <w:tc>
          <w:tcPr>
            <w:tcW w:w="62" w:type="dxa"/>
            <w:tcBorders/>
          </w:tcPr>
          <w:p>
            <w:pPr>
              <w:pStyle w:val="TableContents"/>
              <w:bidi w:val="0"/>
              <w:spacing w:before="0" w:after="0"/>
              <w:jc w:val="left"/>
              <w:rPr/>
            </w:pPr>
            <w:r>
              <w:rPr/>
              <w:t> </w:t>
            </w:r>
          </w:p>
        </w:tc>
      </w:tr>
      <w:tr>
        <w:trPr/>
        <w:tc>
          <w:tcPr>
            <w:tcW w:w="10143" w:type="dxa"/>
            <w:gridSpan w:val="4"/>
            <w:tcBorders/>
          </w:tcPr>
          <w:p>
            <w:pPr>
              <w:pStyle w:val="TableContents"/>
              <w:bidi w:val="0"/>
              <w:spacing w:before="0" w:after="283"/>
              <w:jc w:val="center"/>
              <w:rPr/>
            </w:pPr>
            <w:r>
              <w:rPr/>
              <w:t>P</w:t>
            </w:r>
            <w:r>
              <w:rPr>
                <w:sz w:val="20"/>
              </w:rPr>
              <w:t>ARTICULAR</w:t>
            </w:r>
            <w:r>
              <w:rPr/>
              <w:t xml:space="preserve"> C</w:t>
            </w:r>
            <w:r>
              <w:rPr>
                <w:sz w:val="20"/>
              </w:rPr>
              <w:t>OVENANTS</w:t>
            </w:r>
            <w:r>
              <w:rPr/>
              <w:t xml:space="preserve"> </w:t>
            </w:r>
            <w:r>
              <w:rPr>
                <w:sz w:val="20"/>
              </w:rPr>
              <w:t>OF</w:t>
            </w:r>
            <w:r>
              <w:rPr/>
              <w:t xml:space="preserve"> </w:t>
            </w:r>
            <w:r>
              <w:rPr>
                <w:sz w:val="20"/>
              </w:rPr>
              <w:t>THE</w:t>
            </w:r>
            <w:r>
              <w:rPr/>
              <w:t xml:space="preserve"> C</w:t>
            </w:r>
            <w:r>
              <w:rPr>
                <w:sz w:val="20"/>
              </w:rPr>
              <w:t>OMPANY</w:t>
            </w:r>
          </w:p>
        </w:tc>
        <w:tc>
          <w:tcPr>
            <w:tcW w:w="62" w:type="dxa"/>
            <w:tcBorders/>
          </w:tcPr>
          <w:p>
            <w:pPr>
              <w:pStyle w:val="TableContents"/>
              <w:bidi w:val="0"/>
              <w:spacing w:before="0" w:after="0"/>
              <w:jc w:val="left"/>
              <w:rPr/>
            </w:pPr>
            <w:r>
              <w:rPr/>
              <w:t> </w:t>
            </w:r>
          </w:p>
        </w:tc>
      </w:tr>
      <w:tr>
        <w:trPr>
          <w:trHeight w:val="120" w:hRule="atLeast"/>
        </w:trPr>
        <w:tc>
          <w:tcPr>
            <w:tcW w:w="9320" w:type="dxa"/>
            <w:tcBorders/>
            <w:vAlign w:val="center"/>
          </w:tcPr>
          <w:p>
            <w:pPr>
              <w:pStyle w:val="TableContents"/>
              <w:bidi w:val="0"/>
              <w:spacing w:before="0" w:after="283"/>
              <w:jc w:val="left"/>
              <w:rPr>
                <w:sz w:val="4"/>
                <w:szCs w:val="4"/>
              </w:rPr>
            </w:pPr>
            <w:r>
              <w:rPr>
                <w:sz w:val="4"/>
                <w:szCs w:val="4"/>
              </w:rPr>
            </w:r>
          </w:p>
        </w:tc>
        <w:tc>
          <w:tcPr>
            <w:tcW w:w="885" w:type="dxa"/>
            <w:gridSpan w:val="4"/>
            <w:tcBorders/>
            <w:vAlign w:val="center"/>
          </w:tcPr>
          <w:p>
            <w:pPr>
              <w:pStyle w:val="TableContents"/>
              <w:bidi w:val="0"/>
              <w:spacing w:before="0" w:after="283"/>
              <w:jc w:val="left"/>
              <w:rPr>
                <w:sz w:val="4"/>
                <w:szCs w:val="4"/>
              </w:rPr>
            </w:pPr>
            <w:r>
              <w:rPr>
                <w:sz w:val="4"/>
                <w:szCs w:val="4"/>
              </w:rPr>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4.01 </w:t>
            </w:r>
            <w:r>
              <w:rPr>
                <w:rFonts w:ascii="Times New Roman" w:hAnsi="Times New Roman"/>
                <w:i/>
                <w:sz w:val="20"/>
              </w:rPr>
              <w:t>. Payment of Principal and Interest</w:t>
            </w:r>
          </w:p>
        </w:tc>
        <w:tc>
          <w:tcPr>
            <w:tcW w:w="27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4.02 </w:t>
            </w:r>
            <w:r>
              <w:rPr>
                <w:rFonts w:ascii="Times New Roman" w:hAnsi="Times New Roman"/>
                <w:i/>
                <w:sz w:val="20"/>
              </w:rPr>
              <w:t>. Maintenance of Office or Agency</w:t>
            </w:r>
          </w:p>
        </w:tc>
        <w:tc>
          <w:tcPr>
            <w:tcW w:w="27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4.03 </w:t>
            </w:r>
            <w:r>
              <w:rPr>
                <w:rFonts w:ascii="Times New Roman" w:hAnsi="Times New Roman"/>
                <w:i/>
                <w:sz w:val="20"/>
              </w:rPr>
              <w:t>. Appointments to Fill Vacancies in Trustee’s Office</w:t>
            </w:r>
          </w:p>
        </w:tc>
        <w:tc>
          <w:tcPr>
            <w:tcW w:w="27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4.04 </w:t>
            </w:r>
            <w:r>
              <w:rPr>
                <w:rFonts w:ascii="Times New Roman" w:hAnsi="Times New Roman"/>
                <w:i/>
                <w:sz w:val="20"/>
              </w:rPr>
              <w:t>. Provisions as to Paying Agent</w:t>
            </w:r>
          </w:p>
        </w:tc>
        <w:tc>
          <w:tcPr>
            <w:tcW w:w="27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4.05 </w:t>
            </w:r>
            <w:r>
              <w:rPr>
                <w:rFonts w:ascii="Times New Roman" w:hAnsi="Times New Roman"/>
                <w:i/>
                <w:sz w:val="20"/>
              </w:rPr>
              <w:t>. Existence</w:t>
            </w:r>
          </w:p>
        </w:tc>
        <w:tc>
          <w:tcPr>
            <w:tcW w:w="27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4.06 </w:t>
            </w:r>
            <w:r>
              <w:rPr>
                <w:rFonts w:ascii="Times New Roman" w:hAnsi="Times New Roman"/>
                <w:i/>
                <w:sz w:val="20"/>
              </w:rPr>
              <w:t>. Rule 144A Information Requirement and Annual Reports</w:t>
            </w:r>
          </w:p>
        </w:tc>
        <w:tc>
          <w:tcPr>
            <w:tcW w:w="27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4.07 </w:t>
            </w:r>
            <w:r>
              <w:rPr>
                <w:rFonts w:ascii="Times New Roman" w:hAnsi="Times New Roman"/>
                <w:i/>
                <w:sz w:val="20"/>
              </w:rPr>
              <w:t>. Stay, Extension and Usury Laws</w:t>
            </w:r>
          </w:p>
        </w:tc>
        <w:tc>
          <w:tcPr>
            <w:tcW w:w="27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4.08 </w:t>
            </w:r>
            <w:r>
              <w:rPr>
                <w:rFonts w:ascii="Times New Roman" w:hAnsi="Times New Roman"/>
                <w:i/>
                <w:sz w:val="20"/>
              </w:rPr>
              <w:t>. Compliance Certificate; Statements as to Defaults</w:t>
            </w:r>
          </w:p>
        </w:tc>
        <w:tc>
          <w:tcPr>
            <w:tcW w:w="27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3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4.09 </w:t>
            </w:r>
            <w:r>
              <w:rPr>
                <w:rFonts w:ascii="Times New Roman" w:hAnsi="Times New Roman"/>
                <w:i/>
                <w:sz w:val="20"/>
              </w:rPr>
              <w:t>. Further Instruments and Acts</w:t>
            </w:r>
          </w:p>
        </w:tc>
        <w:tc>
          <w:tcPr>
            <w:tcW w:w="27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655"/>
        <w:gridCol w:w="168"/>
        <w:gridCol w:w="60"/>
        <w:gridCol w:w="260"/>
        <w:gridCol w:w="62"/>
      </w:tblGrid>
      <w:tr>
        <w:trPr/>
        <w:tc>
          <w:tcPr>
            <w:tcW w:w="9655"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4.10 . </w:t>
            </w:r>
            <w:r>
              <w:rPr>
                <w:rFonts w:ascii="Times New Roman" w:hAnsi="Times New Roman"/>
                <w:i/>
                <w:sz w:val="20"/>
              </w:rPr>
              <w:t>Future Guarantors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4.11 </w:t>
            </w:r>
            <w:r>
              <w:rPr>
                <w:rFonts w:ascii="Times New Roman" w:hAnsi="Times New Roman"/>
                <w:i/>
                <w:sz w:val="20"/>
              </w:rPr>
              <w:t>Transactions with Shareholders and Affiliates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tcPr>
          <w:p>
            <w:pPr>
              <w:pStyle w:val="TableContents"/>
              <w:bidi w:val="0"/>
              <w:spacing w:before="0" w:after="283"/>
              <w:jc w:val="center"/>
              <w:rPr/>
            </w:pPr>
            <w:r>
              <w:rPr/>
              <w:t>ARTICLE 5</w:t>
            </w:r>
          </w:p>
        </w:tc>
        <w:tc>
          <w:tcPr>
            <w:tcW w:w="62" w:type="dxa"/>
            <w:tcBorders/>
          </w:tcPr>
          <w:p>
            <w:pPr>
              <w:pStyle w:val="TableContents"/>
              <w:bidi w:val="0"/>
              <w:spacing w:before="0" w:after="0"/>
              <w:jc w:val="left"/>
              <w:rPr/>
            </w:pPr>
            <w:r>
              <w:rPr/>
              <w:t> </w:t>
            </w:r>
          </w:p>
        </w:tc>
      </w:tr>
      <w:tr>
        <w:trPr/>
        <w:tc>
          <w:tcPr>
            <w:tcW w:w="10143" w:type="dxa"/>
            <w:gridSpan w:val="4"/>
            <w:tcBorders/>
          </w:tcPr>
          <w:p>
            <w:pPr>
              <w:pStyle w:val="TableContents"/>
              <w:bidi w:val="0"/>
              <w:spacing w:before="0" w:after="283"/>
              <w:jc w:val="center"/>
              <w:rPr/>
            </w:pPr>
            <w:r>
              <w:rPr/>
              <w:t>L</w:t>
            </w:r>
            <w:r>
              <w:rPr>
                <w:sz w:val="20"/>
              </w:rPr>
              <w:t>ISTS</w:t>
            </w:r>
            <w:r>
              <w:rPr/>
              <w:t xml:space="preserve"> </w:t>
            </w:r>
            <w:r>
              <w:rPr>
                <w:sz w:val="20"/>
              </w:rPr>
              <w:t>OF</w:t>
            </w:r>
            <w:r>
              <w:rPr/>
              <w:t xml:space="preserve"> H</w:t>
            </w:r>
            <w:r>
              <w:rPr>
                <w:sz w:val="20"/>
              </w:rPr>
              <w:t>OLDERS</w:t>
            </w:r>
            <w:r>
              <w:rPr/>
              <w:t xml:space="preserve"> </w:t>
            </w:r>
            <w:r>
              <w:rPr>
                <w:sz w:val="20"/>
              </w:rPr>
              <w:t>AND</w:t>
            </w:r>
            <w:r>
              <w:rPr/>
              <w:t xml:space="preserve"> R</w:t>
            </w:r>
            <w:r>
              <w:rPr>
                <w:sz w:val="20"/>
              </w:rPr>
              <w:t>EPORTS</w:t>
            </w:r>
            <w:r>
              <w:rPr/>
              <w:t xml:space="preserve"> </w:t>
            </w:r>
            <w:r>
              <w:rPr>
                <w:sz w:val="20"/>
              </w:rPr>
              <w:t>BY</w:t>
            </w:r>
            <w:r>
              <w:rPr/>
              <w:t xml:space="preserve"> </w:t>
            </w:r>
            <w:r>
              <w:rPr>
                <w:sz w:val="20"/>
              </w:rPr>
              <w:t>THE</w:t>
            </w:r>
            <w:r>
              <w:rPr/>
              <w:t xml:space="preserve"> C</w:t>
            </w:r>
            <w:r>
              <w:rPr>
                <w:sz w:val="20"/>
              </w:rPr>
              <w:t>OMPANY</w:t>
            </w:r>
            <w:r>
              <w:rPr/>
              <w:t xml:space="preserve"> </w:t>
            </w:r>
            <w:r>
              <w:rPr>
                <w:sz w:val="20"/>
              </w:rPr>
              <w:t>AND</w:t>
            </w:r>
            <w:r>
              <w:rPr/>
              <w:t xml:space="preserve"> </w:t>
            </w:r>
            <w:r>
              <w:rPr>
                <w:sz w:val="20"/>
              </w:rPr>
              <w:t>THE</w:t>
            </w:r>
            <w:r>
              <w:rPr/>
              <w:t xml:space="preserve"> T</w:t>
            </w:r>
            <w:r>
              <w:rPr>
                <w:sz w:val="20"/>
              </w:rPr>
              <w:t>RUSTEE</w:t>
            </w:r>
          </w:p>
        </w:tc>
        <w:tc>
          <w:tcPr>
            <w:tcW w:w="62" w:type="dxa"/>
            <w:tcBorders/>
          </w:tcPr>
          <w:p>
            <w:pPr>
              <w:pStyle w:val="TableContents"/>
              <w:bidi w:val="0"/>
              <w:spacing w:before="0" w:after="0"/>
              <w:jc w:val="left"/>
              <w:rPr/>
            </w:pPr>
            <w:r>
              <w:rPr/>
              <w:t> </w:t>
            </w:r>
          </w:p>
        </w:tc>
      </w:tr>
      <w:tr>
        <w:trPr>
          <w:trHeight w:val="120" w:hRule="atLeast"/>
        </w:trPr>
        <w:tc>
          <w:tcPr>
            <w:tcW w:w="9655"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5.01 </w:t>
            </w:r>
            <w:r>
              <w:rPr>
                <w:rFonts w:ascii="Times New Roman" w:hAnsi="Times New Roman"/>
                <w:i/>
                <w:sz w:val="20"/>
              </w:rPr>
              <w:t>. Lists of Holders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5.02 </w:t>
            </w:r>
            <w:r>
              <w:rPr>
                <w:rFonts w:ascii="Times New Roman" w:hAnsi="Times New Roman"/>
                <w:i/>
                <w:sz w:val="20"/>
              </w:rPr>
              <w:t>. Preservation and Disclosure of Lists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tcPr>
          <w:p>
            <w:pPr>
              <w:pStyle w:val="TableContents"/>
              <w:bidi w:val="0"/>
              <w:spacing w:before="0" w:after="283"/>
              <w:jc w:val="center"/>
              <w:rPr/>
            </w:pPr>
            <w:r>
              <w:rPr/>
              <w:t>ARTICLE 6</w:t>
            </w:r>
          </w:p>
        </w:tc>
        <w:tc>
          <w:tcPr>
            <w:tcW w:w="62" w:type="dxa"/>
            <w:tcBorders/>
          </w:tcPr>
          <w:p>
            <w:pPr>
              <w:pStyle w:val="TableContents"/>
              <w:bidi w:val="0"/>
              <w:spacing w:before="0" w:after="0"/>
              <w:jc w:val="left"/>
              <w:rPr/>
            </w:pPr>
            <w:r>
              <w:rPr/>
              <w:t> </w:t>
            </w:r>
          </w:p>
        </w:tc>
      </w:tr>
      <w:tr>
        <w:trPr/>
        <w:tc>
          <w:tcPr>
            <w:tcW w:w="10143" w:type="dxa"/>
            <w:gridSpan w:val="4"/>
            <w:tcBorders/>
          </w:tcPr>
          <w:p>
            <w:pPr>
              <w:pStyle w:val="TableContents"/>
              <w:bidi w:val="0"/>
              <w:spacing w:before="0" w:after="283"/>
              <w:jc w:val="center"/>
              <w:rPr/>
            </w:pPr>
            <w:r>
              <w:rPr/>
              <w:t>D</w:t>
            </w:r>
            <w:r>
              <w:rPr>
                <w:sz w:val="20"/>
              </w:rPr>
              <w:t>EFAULTS</w:t>
            </w:r>
            <w:r>
              <w:rPr/>
              <w:t xml:space="preserve"> </w:t>
            </w:r>
            <w:r>
              <w:rPr>
                <w:sz w:val="20"/>
              </w:rPr>
              <w:t>AND</w:t>
            </w:r>
            <w:r>
              <w:rPr/>
              <w:t xml:space="preserve"> R</w:t>
            </w:r>
            <w:r>
              <w:rPr>
                <w:sz w:val="20"/>
              </w:rPr>
              <w:t>EMEDIES</w:t>
            </w:r>
          </w:p>
        </w:tc>
        <w:tc>
          <w:tcPr>
            <w:tcW w:w="62" w:type="dxa"/>
            <w:tcBorders/>
          </w:tcPr>
          <w:p>
            <w:pPr>
              <w:pStyle w:val="TableContents"/>
              <w:bidi w:val="0"/>
              <w:spacing w:before="0" w:after="0"/>
              <w:jc w:val="left"/>
              <w:rPr/>
            </w:pPr>
            <w:r>
              <w:rPr/>
              <w:t> </w:t>
            </w:r>
          </w:p>
        </w:tc>
      </w:tr>
      <w:tr>
        <w:trPr>
          <w:trHeight w:val="120" w:hRule="atLeast"/>
        </w:trPr>
        <w:tc>
          <w:tcPr>
            <w:tcW w:w="9655"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6.01 </w:t>
            </w:r>
            <w:r>
              <w:rPr>
                <w:rFonts w:ascii="Times New Roman" w:hAnsi="Times New Roman"/>
                <w:i/>
                <w:sz w:val="20"/>
              </w:rPr>
              <w:t>. Events of Default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6.02 . </w:t>
            </w:r>
            <w:r>
              <w:rPr>
                <w:rFonts w:ascii="Times New Roman" w:hAnsi="Times New Roman"/>
                <w:i/>
                <w:sz w:val="20"/>
              </w:rPr>
              <w:t>Acceleration; Rescission and Annulment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40</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6.03 . </w:t>
            </w:r>
            <w:r>
              <w:rPr>
                <w:rFonts w:ascii="Times New Roman" w:hAnsi="Times New Roman"/>
                <w:i/>
                <w:sz w:val="20"/>
              </w:rPr>
              <w:t>Additional Interest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6.04 </w:t>
            </w:r>
            <w:r>
              <w:rPr>
                <w:rFonts w:ascii="Times New Roman" w:hAnsi="Times New Roman"/>
                <w:i/>
                <w:sz w:val="20"/>
              </w:rPr>
              <w:t>. Payments of Notes on Default; Suit Therefor</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6.05 </w:t>
            </w:r>
            <w:r>
              <w:rPr>
                <w:rFonts w:ascii="Times New Roman" w:hAnsi="Times New Roman"/>
                <w:i/>
                <w:sz w:val="20"/>
              </w:rPr>
              <w:t>. Application of Monies Collected by Trustee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6.06 </w:t>
            </w:r>
            <w:r>
              <w:rPr>
                <w:rFonts w:ascii="Times New Roman" w:hAnsi="Times New Roman"/>
                <w:i/>
                <w:sz w:val="20"/>
              </w:rPr>
              <w:t>. Proceedings by Holders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6.07 </w:t>
            </w:r>
            <w:r>
              <w:rPr>
                <w:rFonts w:ascii="Times New Roman" w:hAnsi="Times New Roman"/>
                <w:i/>
                <w:sz w:val="20"/>
              </w:rPr>
              <w:t>. Proceedings by Trustee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6.08 </w:t>
            </w:r>
            <w:r>
              <w:rPr>
                <w:rFonts w:ascii="Times New Roman" w:hAnsi="Times New Roman"/>
                <w:i/>
                <w:sz w:val="20"/>
              </w:rPr>
              <w:t>. Remedies Cumulative and Continuing</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6.09 </w:t>
            </w:r>
            <w:r>
              <w:rPr>
                <w:rFonts w:ascii="Times New Roman" w:hAnsi="Times New Roman"/>
                <w:i/>
                <w:sz w:val="20"/>
              </w:rPr>
              <w:t>. Direction of Proceedings and Waiver of Defaults by Majority of Holders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6.10 </w:t>
            </w:r>
            <w:r>
              <w:rPr>
                <w:rFonts w:ascii="Times New Roman" w:hAnsi="Times New Roman"/>
                <w:i/>
                <w:sz w:val="20"/>
              </w:rPr>
              <w:t>. Notice of Defaults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6.11 </w:t>
            </w:r>
            <w:r>
              <w:rPr>
                <w:rFonts w:ascii="Times New Roman" w:hAnsi="Times New Roman"/>
                <w:i/>
                <w:sz w:val="20"/>
              </w:rPr>
              <w:t>. Undertaking to Pay Costs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tcPr>
          <w:p>
            <w:pPr>
              <w:pStyle w:val="TableContents"/>
              <w:bidi w:val="0"/>
              <w:spacing w:before="0" w:after="283"/>
              <w:jc w:val="center"/>
              <w:rPr/>
            </w:pPr>
            <w:r>
              <w:rPr/>
              <w:t>ARTICLE 7</w:t>
            </w:r>
          </w:p>
        </w:tc>
        <w:tc>
          <w:tcPr>
            <w:tcW w:w="62" w:type="dxa"/>
            <w:tcBorders/>
          </w:tcPr>
          <w:p>
            <w:pPr>
              <w:pStyle w:val="TableContents"/>
              <w:bidi w:val="0"/>
              <w:spacing w:before="0" w:after="0"/>
              <w:jc w:val="left"/>
              <w:rPr/>
            </w:pPr>
            <w:r>
              <w:rPr/>
              <w:t> </w:t>
            </w:r>
          </w:p>
        </w:tc>
      </w:tr>
      <w:tr>
        <w:trPr/>
        <w:tc>
          <w:tcPr>
            <w:tcW w:w="10143" w:type="dxa"/>
            <w:gridSpan w:val="4"/>
            <w:tcBorders/>
          </w:tcPr>
          <w:p>
            <w:pPr>
              <w:pStyle w:val="TableContents"/>
              <w:bidi w:val="0"/>
              <w:spacing w:before="0" w:after="283"/>
              <w:jc w:val="center"/>
              <w:rPr/>
            </w:pPr>
            <w:r>
              <w:rPr/>
              <w:t>C</w:t>
            </w:r>
            <w:r>
              <w:rPr>
                <w:sz w:val="20"/>
              </w:rPr>
              <w:t>ONCERNING</w:t>
            </w:r>
            <w:r>
              <w:rPr/>
              <w:t xml:space="preserve"> </w:t>
            </w:r>
            <w:r>
              <w:rPr>
                <w:sz w:val="20"/>
              </w:rPr>
              <w:t>THE</w:t>
            </w:r>
            <w:r>
              <w:rPr/>
              <w:t xml:space="preserve"> T</w:t>
            </w:r>
            <w:r>
              <w:rPr>
                <w:sz w:val="20"/>
              </w:rPr>
              <w:t>RUSTEE</w:t>
            </w:r>
          </w:p>
        </w:tc>
        <w:tc>
          <w:tcPr>
            <w:tcW w:w="62" w:type="dxa"/>
            <w:tcBorders/>
          </w:tcPr>
          <w:p>
            <w:pPr>
              <w:pStyle w:val="TableContents"/>
              <w:bidi w:val="0"/>
              <w:spacing w:before="0" w:after="0"/>
              <w:jc w:val="left"/>
              <w:rPr/>
            </w:pPr>
            <w:r>
              <w:rPr/>
              <w:t> </w:t>
            </w:r>
          </w:p>
        </w:tc>
      </w:tr>
      <w:tr>
        <w:trPr>
          <w:trHeight w:val="120" w:hRule="atLeast"/>
        </w:trPr>
        <w:tc>
          <w:tcPr>
            <w:tcW w:w="9655" w:type="dxa"/>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7.01 </w:t>
            </w:r>
            <w:r>
              <w:rPr>
                <w:rFonts w:ascii="Times New Roman" w:hAnsi="Times New Roman"/>
                <w:i/>
                <w:sz w:val="20"/>
              </w:rPr>
              <w:t>. Duties and Responsibilities of Trustee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7.02 </w:t>
            </w:r>
            <w:r>
              <w:rPr>
                <w:rFonts w:ascii="Times New Roman" w:hAnsi="Times New Roman"/>
                <w:i/>
                <w:sz w:val="20"/>
              </w:rPr>
              <w:t>. Reliance on Documents, Opinions, Etc.</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7.03 </w:t>
            </w:r>
            <w:r>
              <w:rPr>
                <w:rFonts w:ascii="Times New Roman" w:hAnsi="Times New Roman"/>
                <w:i/>
                <w:sz w:val="20"/>
              </w:rPr>
              <w:t>. No Responsibility for Recitals, Etc</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7.04 </w:t>
            </w:r>
            <w:r>
              <w:rPr>
                <w:rFonts w:ascii="Times New Roman" w:hAnsi="Times New Roman"/>
                <w:i/>
                <w:sz w:val="20"/>
              </w:rPr>
              <w:t>. Trustee, Paying Agents, Conversion Agents, Bid Solicitation Agent or Note Registrar May Own Notes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7.05 </w:t>
            </w:r>
            <w:r>
              <w:rPr>
                <w:rFonts w:ascii="Times New Roman" w:hAnsi="Times New Roman"/>
                <w:i/>
                <w:sz w:val="20"/>
              </w:rPr>
              <w:t>. Monies and Shares of Common Stock to Be Held in Trust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7.06 </w:t>
            </w:r>
            <w:r>
              <w:rPr>
                <w:rFonts w:ascii="Times New Roman" w:hAnsi="Times New Roman"/>
                <w:i/>
                <w:sz w:val="20"/>
              </w:rPr>
              <w:t>. Compensation and Expenses of Trustee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7.07 </w:t>
            </w:r>
            <w:r>
              <w:rPr>
                <w:rFonts w:ascii="Times New Roman" w:hAnsi="Times New Roman"/>
                <w:i/>
                <w:sz w:val="20"/>
              </w:rPr>
              <w:t>. Officer’s Certificate as Evidence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7.08 </w:t>
            </w:r>
            <w:r>
              <w:rPr>
                <w:rFonts w:ascii="Times New Roman" w:hAnsi="Times New Roman"/>
                <w:i/>
                <w:sz w:val="20"/>
              </w:rPr>
              <w:t>. Eligibility of Trustee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7.09 </w:t>
            </w:r>
            <w:r>
              <w:rPr>
                <w:rFonts w:ascii="Times New Roman" w:hAnsi="Times New Roman"/>
                <w:i/>
                <w:sz w:val="20"/>
              </w:rPr>
              <w:t>. Resignation or Removal of Trustee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7.10 </w:t>
            </w:r>
            <w:r>
              <w:rPr>
                <w:rFonts w:ascii="Times New Roman" w:hAnsi="Times New Roman"/>
                <w:i/>
                <w:sz w:val="20"/>
              </w:rPr>
              <w:t>. Acceptance by Successor Trustee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7.11 </w:t>
            </w:r>
            <w:r>
              <w:rPr>
                <w:rFonts w:ascii="Times New Roman" w:hAnsi="Times New Roman"/>
                <w:i/>
                <w:sz w:val="20"/>
              </w:rPr>
              <w:t>. Succession by Merger, Etc.</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2" w:type="dxa"/>
            <w:tcBorders/>
            <w:vAlign w:val="bottom"/>
          </w:tcPr>
          <w:p>
            <w:pPr>
              <w:pStyle w:val="TableContents"/>
              <w:bidi w:val="0"/>
              <w:spacing w:before="0" w:after="283"/>
              <w:jc w:val="left"/>
              <w:rPr/>
            </w:pPr>
            <w:r>
              <w:rPr/>
              <w:t> </w:t>
            </w:r>
          </w:p>
        </w:tc>
      </w:tr>
      <w:tr>
        <w:trPr/>
        <w:tc>
          <w:tcPr>
            <w:tcW w:w="965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7.12 </w:t>
            </w:r>
            <w:r>
              <w:rPr>
                <w:rFonts w:ascii="Times New Roman" w:hAnsi="Times New Roman"/>
                <w:i/>
                <w:sz w:val="20"/>
              </w:rPr>
              <w:t>. Trustee’s Application for Instructions from the Company</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648"/>
        <w:gridCol w:w="170"/>
        <w:gridCol w:w="60"/>
        <w:gridCol w:w="264"/>
        <w:gridCol w:w="63"/>
      </w:tblGrid>
      <w:tr>
        <w:trPr/>
        <w:tc>
          <w:tcPr>
            <w:tcW w:w="9648"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0142" w:type="dxa"/>
            <w:gridSpan w:val="4"/>
            <w:tcBorders/>
          </w:tcPr>
          <w:p>
            <w:pPr>
              <w:pStyle w:val="TableContents"/>
              <w:bidi w:val="0"/>
              <w:spacing w:before="0" w:after="283"/>
              <w:jc w:val="center"/>
              <w:rPr/>
            </w:pPr>
            <w:r>
              <w:rPr/>
              <w:t>ARTICLE 8</w:t>
            </w:r>
          </w:p>
        </w:tc>
        <w:tc>
          <w:tcPr>
            <w:tcW w:w="63" w:type="dxa"/>
            <w:tcBorders/>
          </w:tcPr>
          <w:p>
            <w:pPr>
              <w:pStyle w:val="TableContents"/>
              <w:bidi w:val="0"/>
              <w:spacing w:before="0" w:after="0"/>
              <w:jc w:val="left"/>
              <w:rPr/>
            </w:pPr>
            <w:r>
              <w:rPr/>
              <w:t> </w:t>
            </w:r>
          </w:p>
        </w:tc>
      </w:tr>
      <w:tr>
        <w:trPr/>
        <w:tc>
          <w:tcPr>
            <w:tcW w:w="10142" w:type="dxa"/>
            <w:gridSpan w:val="4"/>
            <w:tcBorders/>
          </w:tcPr>
          <w:p>
            <w:pPr>
              <w:pStyle w:val="TableContents"/>
              <w:bidi w:val="0"/>
              <w:spacing w:before="0" w:after="283"/>
              <w:jc w:val="center"/>
              <w:rPr/>
            </w:pPr>
            <w:r>
              <w:rPr/>
              <w:t>C</w:t>
            </w:r>
            <w:r>
              <w:rPr>
                <w:sz w:val="20"/>
              </w:rPr>
              <w:t>ONCERNING</w:t>
            </w:r>
            <w:r>
              <w:rPr/>
              <w:t xml:space="preserve"> </w:t>
            </w:r>
            <w:r>
              <w:rPr>
                <w:sz w:val="20"/>
              </w:rPr>
              <w:t>THE</w:t>
            </w:r>
            <w:r>
              <w:rPr/>
              <w:t xml:space="preserve"> H</w:t>
            </w:r>
            <w:r>
              <w:rPr>
                <w:sz w:val="20"/>
              </w:rPr>
              <w:t>OLDERS</w:t>
            </w:r>
          </w:p>
        </w:tc>
        <w:tc>
          <w:tcPr>
            <w:tcW w:w="63" w:type="dxa"/>
            <w:tcBorders/>
          </w:tcPr>
          <w:p>
            <w:pPr>
              <w:pStyle w:val="TableContents"/>
              <w:bidi w:val="0"/>
              <w:spacing w:before="0" w:after="0"/>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8.01 </w:t>
            </w:r>
            <w:r>
              <w:rPr>
                <w:rFonts w:ascii="Times New Roman" w:hAnsi="Times New Roman"/>
                <w:i/>
                <w:sz w:val="20"/>
              </w:rPr>
              <w:t>. Action by Holders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8.02 </w:t>
            </w:r>
            <w:r>
              <w:rPr>
                <w:rFonts w:ascii="Times New Roman" w:hAnsi="Times New Roman"/>
                <w:i/>
                <w:sz w:val="20"/>
              </w:rPr>
              <w:t>. Proof of Execution by Holders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8.03 </w:t>
            </w:r>
            <w:r>
              <w:rPr>
                <w:rFonts w:ascii="Times New Roman" w:hAnsi="Times New Roman"/>
                <w:i/>
                <w:sz w:val="20"/>
              </w:rPr>
              <w:t>. Who Are Deemed Absolute Owners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8.04 </w:t>
            </w:r>
            <w:r>
              <w:rPr>
                <w:rFonts w:ascii="Times New Roman" w:hAnsi="Times New Roman"/>
                <w:i/>
                <w:sz w:val="20"/>
              </w:rPr>
              <w:t>. Company-Owned Notes Disregarded</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8.05 </w:t>
            </w:r>
            <w:r>
              <w:rPr>
                <w:rFonts w:ascii="Times New Roman" w:hAnsi="Times New Roman"/>
                <w:i/>
                <w:sz w:val="20"/>
              </w:rPr>
              <w:t>. Revocation of Consents; Future Holders Bound</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2" w:type="dxa"/>
            <w:gridSpan w:val="4"/>
            <w:tcBorders/>
          </w:tcPr>
          <w:p>
            <w:pPr>
              <w:pStyle w:val="TableContents"/>
              <w:bidi w:val="0"/>
              <w:spacing w:before="0" w:after="283"/>
              <w:jc w:val="center"/>
              <w:rPr/>
            </w:pPr>
            <w:r>
              <w:rPr/>
              <w:t>ARTICLE 9</w:t>
            </w:r>
          </w:p>
        </w:tc>
        <w:tc>
          <w:tcPr>
            <w:tcW w:w="63" w:type="dxa"/>
            <w:tcBorders/>
          </w:tcPr>
          <w:p>
            <w:pPr>
              <w:pStyle w:val="TableContents"/>
              <w:bidi w:val="0"/>
              <w:spacing w:before="0" w:after="0"/>
              <w:jc w:val="left"/>
              <w:rPr/>
            </w:pPr>
            <w:r>
              <w:rPr/>
              <w:t> </w:t>
            </w:r>
          </w:p>
        </w:tc>
      </w:tr>
      <w:tr>
        <w:trPr/>
        <w:tc>
          <w:tcPr>
            <w:tcW w:w="10142" w:type="dxa"/>
            <w:gridSpan w:val="4"/>
            <w:tcBorders/>
          </w:tcPr>
          <w:p>
            <w:pPr>
              <w:pStyle w:val="TableContents"/>
              <w:bidi w:val="0"/>
              <w:spacing w:before="0" w:after="283"/>
              <w:jc w:val="center"/>
              <w:rPr/>
            </w:pPr>
            <w:r>
              <w:rPr/>
              <w:t>H</w:t>
            </w:r>
            <w:r>
              <w:rPr>
                <w:sz w:val="20"/>
              </w:rPr>
              <w:t>OLDERS</w:t>
            </w:r>
            <w:r>
              <w:rPr/>
              <w:t>’ M</w:t>
            </w:r>
            <w:r>
              <w:rPr>
                <w:sz w:val="20"/>
              </w:rPr>
              <w:t>EETINGS</w:t>
            </w:r>
          </w:p>
        </w:tc>
        <w:tc>
          <w:tcPr>
            <w:tcW w:w="63" w:type="dxa"/>
            <w:tcBorders/>
          </w:tcPr>
          <w:p>
            <w:pPr>
              <w:pStyle w:val="TableContents"/>
              <w:bidi w:val="0"/>
              <w:spacing w:before="0" w:after="0"/>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9.01 </w:t>
            </w:r>
            <w:r>
              <w:rPr>
                <w:rFonts w:ascii="Times New Roman" w:hAnsi="Times New Roman"/>
                <w:i/>
                <w:sz w:val="20"/>
              </w:rPr>
              <w:t>. Purpose of Meetings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9.02 </w:t>
            </w:r>
            <w:r>
              <w:rPr>
                <w:rFonts w:ascii="Times New Roman" w:hAnsi="Times New Roman"/>
                <w:i/>
                <w:sz w:val="20"/>
              </w:rPr>
              <w:t>. Call of Meetings by Trustee</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9.03 </w:t>
            </w:r>
            <w:r>
              <w:rPr>
                <w:rFonts w:ascii="Times New Roman" w:hAnsi="Times New Roman"/>
                <w:i/>
                <w:sz w:val="20"/>
              </w:rPr>
              <w:t>. Call of Meetings by the Company or the Holders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9.04 </w:t>
            </w:r>
            <w:r>
              <w:rPr>
                <w:rFonts w:ascii="Times New Roman" w:hAnsi="Times New Roman"/>
                <w:i/>
                <w:sz w:val="20"/>
              </w:rPr>
              <w:t>. Qualifications for Voting</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9.05 </w:t>
            </w:r>
            <w:r>
              <w:rPr>
                <w:rFonts w:ascii="Times New Roman" w:hAnsi="Times New Roman"/>
                <w:i/>
                <w:sz w:val="20"/>
              </w:rPr>
              <w:t>. Regulations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9.06 </w:t>
            </w:r>
            <w:r>
              <w:rPr>
                <w:rFonts w:ascii="Times New Roman" w:hAnsi="Times New Roman"/>
                <w:i/>
                <w:sz w:val="20"/>
              </w:rPr>
              <w:t>. Voting</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9.07 </w:t>
            </w:r>
            <w:r>
              <w:rPr>
                <w:rFonts w:ascii="Times New Roman" w:hAnsi="Times New Roman"/>
                <w:i/>
                <w:sz w:val="20"/>
              </w:rPr>
              <w:t>. No Delay of Rights by Meeting</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2" w:type="dxa"/>
            <w:gridSpan w:val="4"/>
            <w:tcBorders/>
          </w:tcPr>
          <w:p>
            <w:pPr>
              <w:pStyle w:val="TableContents"/>
              <w:bidi w:val="0"/>
              <w:spacing w:before="0" w:after="283"/>
              <w:jc w:val="center"/>
              <w:rPr/>
            </w:pPr>
            <w:r>
              <w:rPr/>
              <w:t>ARTICLE 10</w:t>
            </w:r>
          </w:p>
        </w:tc>
        <w:tc>
          <w:tcPr>
            <w:tcW w:w="63" w:type="dxa"/>
            <w:tcBorders/>
          </w:tcPr>
          <w:p>
            <w:pPr>
              <w:pStyle w:val="TableContents"/>
              <w:bidi w:val="0"/>
              <w:spacing w:before="0" w:after="0"/>
              <w:jc w:val="left"/>
              <w:rPr/>
            </w:pPr>
            <w:r>
              <w:rPr/>
              <w:t> </w:t>
            </w:r>
          </w:p>
        </w:tc>
      </w:tr>
      <w:tr>
        <w:trPr/>
        <w:tc>
          <w:tcPr>
            <w:tcW w:w="10142" w:type="dxa"/>
            <w:gridSpan w:val="4"/>
            <w:tcBorders/>
          </w:tcPr>
          <w:p>
            <w:pPr>
              <w:pStyle w:val="TableContents"/>
              <w:bidi w:val="0"/>
              <w:spacing w:before="0" w:after="283"/>
              <w:jc w:val="center"/>
              <w:rPr/>
            </w:pPr>
            <w:r>
              <w:rPr/>
              <w:t>S</w:t>
            </w:r>
            <w:r>
              <w:rPr>
                <w:sz w:val="20"/>
              </w:rPr>
              <w:t>UPPLEMENTAL</w:t>
            </w:r>
            <w:r>
              <w:rPr/>
              <w:t xml:space="preserve"> I</w:t>
            </w:r>
            <w:r>
              <w:rPr>
                <w:sz w:val="20"/>
              </w:rPr>
              <w:t>NDENTURES</w:t>
            </w:r>
          </w:p>
        </w:tc>
        <w:tc>
          <w:tcPr>
            <w:tcW w:w="63" w:type="dxa"/>
            <w:tcBorders/>
          </w:tcPr>
          <w:p>
            <w:pPr>
              <w:pStyle w:val="TableContents"/>
              <w:bidi w:val="0"/>
              <w:spacing w:before="0" w:after="0"/>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10.01 </w:t>
            </w:r>
            <w:r>
              <w:rPr>
                <w:rFonts w:ascii="Times New Roman" w:hAnsi="Times New Roman"/>
                <w:i/>
                <w:sz w:val="20"/>
              </w:rPr>
              <w:t>. Supplemental Indentures Without Consent of Holders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10.02 </w:t>
            </w:r>
            <w:r>
              <w:rPr>
                <w:rFonts w:ascii="Times New Roman" w:hAnsi="Times New Roman"/>
                <w:i/>
                <w:sz w:val="20"/>
              </w:rPr>
              <w:t>. Supplemental Indentures with Consent of Holders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10.03 </w:t>
            </w:r>
            <w:r>
              <w:rPr>
                <w:rFonts w:ascii="Times New Roman" w:hAnsi="Times New Roman"/>
                <w:i/>
                <w:sz w:val="20"/>
              </w:rPr>
              <w:t>. Effect of Supplemental Indentures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10.04 </w:t>
            </w:r>
            <w:r>
              <w:rPr>
                <w:rFonts w:ascii="Times New Roman" w:hAnsi="Times New Roman"/>
                <w:i/>
                <w:sz w:val="20"/>
              </w:rPr>
              <w:t>. Notation on Notes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10.05 </w:t>
            </w:r>
            <w:r>
              <w:rPr>
                <w:rFonts w:ascii="Times New Roman" w:hAnsi="Times New Roman"/>
                <w:i/>
                <w:sz w:val="20"/>
              </w:rPr>
              <w:t>. Evidence of Compliance of Supplemental Indenture to Be Furnished to Trustee</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2" w:type="dxa"/>
            <w:gridSpan w:val="4"/>
            <w:tcBorders/>
          </w:tcPr>
          <w:p>
            <w:pPr>
              <w:pStyle w:val="TableContents"/>
              <w:bidi w:val="0"/>
              <w:spacing w:before="0" w:after="283"/>
              <w:jc w:val="center"/>
              <w:rPr/>
            </w:pPr>
            <w:r>
              <w:rPr/>
              <w:t>ARTICLE 11</w:t>
            </w:r>
          </w:p>
        </w:tc>
        <w:tc>
          <w:tcPr>
            <w:tcW w:w="63" w:type="dxa"/>
            <w:tcBorders/>
          </w:tcPr>
          <w:p>
            <w:pPr>
              <w:pStyle w:val="TableContents"/>
              <w:bidi w:val="0"/>
              <w:spacing w:before="0" w:after="0"/>
              <w:jc w:val="left"/>
              <w:rPr/>
            </w:pPr>
            <w:r>
              <w:rPr/>
              <w:t> </w:t>
            </w:r>
          </w:p>
        </w:tc>
      </w:tr>
      <w:tr>
        <w:trPr/>
        <w:tc>
          <w:tcPr>
            <w:tcW w:w="10142" w:type="dxa"/>
            <w:gridSpan w:val="4"/>
            <w:tcBorders/>
          </w:tcPr>
          <w:p>
            <w:pPr>
              <w:pStyle w:val="TableContents"/>
              <w:bidi w:val="0"/>
              <w:spacing w:before="0" w:after="283"/>
              <w:jc w:val="center"/>
              <w:rPr/>
            </w:pPr>
            <w:r>
              <w:rPr/>
              <w:t>C</w:t>
            </w:r>
            <w:r>
              <w:rPr>
                <w:sz w:val="20"/>
              </w:rPr>
              <w:t>ONSOLIDATION</w:t>
            </w:r>
            <w:r>
              <w:rPr/>
              <w:t>, M</w:t>
            </w:r>
            <w:r>
              <w:rPr>
                <w:sz w:val="20"/>
              </w:rPr>
              <w:t>ERGER</w:t>
            </w:r>
            <w:r>
              <w:rPr/>
              <w:t>, S</w:t>
            </w:r>
            <w:r>
              <w:rPr>
                <w:sz w:val="20"/>
              </w:rPr>
              <w:t>ALE</w:t>
            </w:r>
            <w:r>
              <w:rPr/>
              <w:t>, C</w:t>
            </w:r>
            <w:r>
              <w:rPr>
                <w:sz w:val="20"/>
              </w:rPr>
              <w:t>ONVEYANCE</w:t>
            </w:r>
            <w:r>
              <w:rPr/>
              <w:t xml:space="preserve"> </w:t>
            </w:r>
            <w:r>
              <w:rPr>
                <w:sz w:val="20"/>
              </w:rPr>
              <w:t>AND</w:t>
            </w:r>
            <w:r>
              <w:rPr/>
              <w:t xml:space="preserve"> L</w:t>
            </w:r>
            <w:r>
              <w:rPr>
                <w:sz w:val="20"/>
              </w:rPr>
              <w:t>EASE</w:t>
            </w:r>
          </w:p>
        </w:tc>
        <w:tc>
          <w:tcPr>
            <w:tcW w:w="63" w:type="dxa"/>
            <w:tcBorders/>
          </w:tcPr>
          <w:p>
            <w:pPr>
              <w:pStyle w:val="TableContents"/>
              <w:bidi w:val="0"/>
              <w:spacing w:before="0" w:after="0"/>
              <w:jc w:val="left"/>
              <w:rPr/>
            </w:pPr>
            <w:r>
              <w:rPr/>
              <w:t>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11.01 </w:t>
            </w:r>
            <w:r>
              <w:rPr>
                <w:rFonts w:ascii="Times New Roman" w:hAnsi="Times New Roman"/>
                <w:i/>
                <w:sz w:val="20"/>
              </w:rPr>
              <w:t>. Company May Consolidate, Etc. on Certain Terms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11.02 </w:t>
            </w:r>
            <w:r>
              <w:rPr>
                <w:rFonts w:ascii="Times New Roman" w:hAnsi="Times New Roman"/>
                <w:i/>
                <w:sz w:val="20"/>
              </w:rPr>
              <w:t>. Guarantors May Consolidate, Etc. on Certain Terms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11.03 </w:t>
            </w:r>
            <w:r>
              <w:rPr>
                <w:rFonts w:ascii="Times New Roman" w:hAnsi="Times New Roman"/>
                <w:i/>
                <w:sz w:val="20"/>
              </w:rPr>
              <w:t>. Successor Entity to Be Substituted</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2" w:type="dxa"/>
            <w:gridSpan w:val="4"/>
            <w:tcBorders/>
          </w:tcPr>
          <w:p>
            <w:pPr>
              <w:pStyle w:val="TableContents"/>
              <w:bidi w:val="0"/>
              <w:spacing w:before="0" w:after="283"/>
              <w:jc w:val="center"/>
              <w:rPr/>
            </w:pPr>
            <w:r>
              <w:rPr/>
              <w:t>ARTICLE 12</w:t>
            </w:r>
          </w:p>
        </w:tc>
        <w:tc>
          <w:tcPr>
            <w:tcW w:w="63" w:type="dxa"/>
            <w:tcBorders/>
          </w:tcPr>
          <w:p>
            <w:pPr>
              <w:pStyle w:val="TableContents"/>
              <w:bidi w:val="0"/>
              <w:spacing w:before="0" w:after="0"/>
              <w:jc w:val="left"/>
              <w:rPr/>
            </w:pPr>
            <w:r>
              <w:rPr/>
              <w:t> </w:t>
            </w:r>
          </w:p>
        </w:tc>
      </w:tr>
      <w:tr>
        <w:trPr/>
        <w:tc>
          <w:tcPr>
            <w:tcW w:w="10142" w:type="dxa"/>
            <w:gridSpan w:val="4"/>
            <w:tcBorders/>
          </w:tcPr>
          <w:p>
            <w:pPr>
              <w:pStyle w:val="TableContents"/>
              <w:bidi w:val="0"/>
              <w:spacing w:before="0" w:after="283"/>
              <w:jc w:val="center"/>
              <w:rPr/>
            </w:pPr>
            <w:r>
              <w:rPr/>
              <w:t>I</w:t>
            </w:r>
            <w:r>
              <w:rPr>
                <w:sz w:val="20"/>
              </w:rPr>
              <w:t>MMUNITY</w:t>
            </w:r>
            <w:r>
              <w:rPr/>
              <w:t xml:space="preserve"> </w:t>
            </w:r>
            <w:r>
              <w:rPr>
                <w:sz w:val="20"/>
              </w:rPr>
              <w:t>OF</w:t>
            </w:r>
            <w:r>
              <w:rPr/>
              <w:t xml:space="preserve"> I</w:t>
            </w:r>
            <w:r>
              <w:rPr>
                <w:sz w:val="20"/>
              </w:rPr>
              <w:t>NCORPORATORS</w:t>
            </w:r>
            <w:r>
              <w:rPr/>
              <w:t>, S</w:t>
            </w:r>
            <w:r>
              <w:rPr>
                <w:sz w:val="20"/>
              </w:rPr>
              <w:t>TOCKHOLDERS</w:t>
            </w:r>
            <w:r>
              <w:rPr/>
              <w:t>, O</w:t>
            </w:r>
            <w:r>
              <w:rPr>
                <w:sz w:val="20"/>
              </w:rPr>
              <w:t>FFICERS</w:t>
            </w:r>
            <w:r>
              <w:rPr/>
              <w:t xml:space="preserve"> </w:t>
            </w:r>
            <w:r>
              <w:rPr>
                <w:sz w:val="20"/>
              </w:rPr>
              <w:t>AND</w:t>
            </w:r>
            <w:r>
              <w:rPr/>
              <w:t xml:space="preserve"> D</w:t>
            </w:r>
            <w:r>
              <w:rPr>
                <w:sz w:val="20"/>
              </w:rPr>
              <w:t>IRECTORS</w:t>
            </w:r>
          </w:p>
        </w:tc>
        <w:tc>
          <w:tcPr>
            <w:tcW w:w="63" w:type="dxa"/>
            <w:tcBorders/>
          </w:tcPr>
          <w:p>
            <w:pPr>
              <w:pStyle w:val="TableContents"/>
              <w:bidi w:val="0"/>
              <w:spacing w:before="0" w:after="0"/>
              <w:jc w:val="left"/>
              <w:rPr/>
            </w:pPr>
            <w:r>
              <w:rPr/>
              <w:t xml:space="preserve">  </w:t>
            </w:r>
          </w:p>
        </w:tc>
      </w:tr>
      <w:tr>
        <w:trPr>
          <w:trHeight w:val="12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12.01 </w:t>
            </w:r>
            <w:r>
              <w:rPr>
                <w:rFonts w:ascii="Times New Roman" w:hAnsi="Times New Roman"/>
                <w:i/>
                <w:sz w:val="20"/>
              </w:rPr>
              <w:t>. Indenture and Notes Solely Corporate Obligations</w:t>
            </w:r>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651"/>
        <w:gridCol w:w="168"/>
        <w:gridCol w:w="60"/>
        <w:gridCol w:w="263"/>
        <w:gridCol w:w="63"/>
      </w:tblGrid>
      <w:tr>
        <w:trPr/>
        <w:tc>
          <w:tcPr>
            <w:tcW w:w="9651"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1" w:type="dxa"/>
            <w:tcBorders/>
          </w:tcPr>
          <w:p>
            <w:pPr>
              <w:pStyle w:val="TableContents"/>
              <w:bidi w:val="0"/>
              <w:spacing w:before="0" w:after="283"/>
              <w:jc w:val="center"/>
              <w:rPr/>
            </w:pPr>
            <w:r>
              <w:rPr/>
              <w:t>ARTICLE 13</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651" w:type="dxa"/>
            <w:tcBorders/>
          </w:tcPr>
          <w:p>
            <w:pPr>
              <w:pStyle w:val="TableContents"/>
              <w:bidi w:val="0"/>
              <w:spacing w:before="0" w:after="283"/>
              <w:jc w:val="center"/>
              <w:rPr/>
            </w:pPr>
            <w:r>
              <w:rPr/>
              <w:t>GUARANTEES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13.01 . </w:t>
            </w:r>
            <w:r>
              <w:rPr>
                <w:rFonts w:ascii="Times New Roman" w:hAnsi="Times New Roman"/>
                <w:i/>
                <w:sz w:val="20"/>
              </w:rPr>
              <w:t>Guarantees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13.02 . </w:t>
            </w:r>
            <w:r>
              <w:rPr>
                <w:rFonts w:ascii="Times New Roman" w:hAnsi="Times New Roman"/>
                <w:i/>
                <w:sz w:val="20"/>
              </w:rPr>
              <w:t>No Subrogation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13.03 . </w:t>
            </w:r>
            <w:r>
              <w:rPr>
                <w:rFonts w:ascii="Times New Roman" w:hAnsi="Times New Roman"/>
                <w:i/>
                <w:sz w:val="20"/>
              </w:rPr>
              <w:t>Consideration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13.04 . </w:t>
            </w:r>
            <w:r>
              <w:rPr>
                <w:rFonts w:ascii="Times New Roman" w:hAnsi="Times New Roman"/>
                <w:i/>
                <w:sz w:val="20"/>
              </w:rPr>
              <w:t>No Waiver</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13.05 . </w:t>
            </w:r>
            <w:r>
              <w:rPr>
                <w:rFonts w:ascii="Times New Roman" w:hAnsi="Times New Roman"/>
                <w:i/>
                <w:sz w:val="20"/>
              </w:rPr>
              <w:t>Modification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13.06 . </w:t>
            </w:r>
            <w:r>
              <w:rPr>
                <w:rFonts w:ascii="Times New Roman" w:hAnsi="Times New Roman"/>
                <w:i/>
                <w:sz w:val="20"/>
              </w:rPr>
              <w:t>Limitation on Guarantor Liability</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13.07 . </w:t>
            </w:r>
            <w:r>
              <w:rPr>
                <w:rFonts w:ascii="Times New Roman" w:hAnsi="Times New Roman"/>
                <w:i/>
                <w:sz w:val="20"/>
              </w:rPr>
              <w:t>Execution and Delivery</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13.08 . </w:t>
            </w:r>
            <w:r>
              <w:rPr>
                <w:rFonts w:ascii="Times New Roman" w:hAnsi="Times New Roman"/>
                <w:i/>
                <w:sz w:val="20"/>
              </w:rPr>
              <w:t>Release of Guarantors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tcPr>
          <w:p>
            <w:pPr>
              <w:pStyle w:val="TableContents"/>
              <w:bidi w:val="0"/>
              <w:spacing w:before="0" w:after="283"/>
              <w:jc w:val="center"/>
              <w:rPr/>
            </w:pPr>
            <w:r>
              <w:rPr/>
              <w:t>ARTICLE 14</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651" w:type="dxa"/>
            <w:tcBorders/>
          </w:tcPr>
          <w:p>
            <w:pPr>
              <w:pStyle w:val="TableContents"/>
              <w:bidi w:val="0"/>
              <w:spacing w:before="0" w:after="283"/>
              <w:jc w:val="center"/>
              <w:rPr/>
            </w:pPr>
            <w:r>
              <w:rPr/>
              <w:t>C</w:t>
            </w:r>
            <w:r>
              <w:rPr>
                <w:sz w:val="20"/>
              </w:rPr>
              <w:t>ONVERSION</w:t>
            </w:r>
            <w:r>
              <w:rPr/>
              <w:t xml:space="preserve"> </w:t>
            </w:r>
            <w:r>
              <w:rPr>
                <w:sz w:val="20"/>
              </w:rPr>
              <w:t>OF</w:t>
            </w:r>
            <w:r>
              <w:rPr/>
              <w:t xml:space="preserve"> N</w:t>
            </w:r>
            <w:r>
              <w:rPr>
                <w:sz w:val="20"/>
              </w:rPr>
              <w:t>OTES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14.01 </w:t>
            </w:r>
            <w:r>
              <w:rPr>
                <w:rFonts w:ascii="Times New Roman" w:hAnsi="Times New Roman"/>
                <w:i/>
                <w:sz w:val="20"/>
              </w:rPr>
              <w:t>. Conversion Privilege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14.02 </w:t>
            </w:r>
            <w:r>
              <w:rPr>
                <w:rFonts w:ascii="Times New Roman" w:hAnsi="Times New Roman"/>
                <w:i/>
                <w:sz w:val="20"/>
              </w:rPr>
              <w:t>. Conversion Procedure; Settlement Upon Conversion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14.03 </w:t>
            </w:r>
            <w:r>
              <w:rPr>
                <w:rFonts w:ascii="Times New Roman" w:hAnsi="Times New Roman"/>
                <w:i/>
                <w:sz w:val="20"/>
              </w:rPr>
              <w:t>. Increased Conversion Rate Applicable to Certain Notes Surrendered in Connection with Make-Whole Fundamental Changes or a Notice of Redemption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14.04 </w:t>
            </w:r>
            <w:r>
              <w:rPr>
                <w:rFonts w:ascii="Times New Roman" w:hAnsi="Times New Roman"/>
                <w:i/>
                <w:sz w:val="20"/>
              </w:rPr>
              <w:t>. Adjustment of Conversion Rate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14.05 </w:t>
            </w:r>
            <w:r>
              <w:rPr>
                <w:rFonts w:ascii="Times New Roman" w:hAnsi="Times New Roman"/>
                <w:i/>
                <w:sz w:val="20"/>
              </w:rPr>
              <w:t>. Adjustments of Prices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14.06 </w:t>
            </w:r>
            <w:r>
              <w:rPr>
                <w:rFonts w:ascii="Times New Roman" w:hAnsi="Times New Roman"/>
                <w:i/>
                <w:sz w:val="20"/>
              </w:rPr>
              <w:t>. Shares to Be Fully Paid</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14.07 </w:t>
            </w:r>
            <w:r>
              <w:rPr>
                <w:rFonts w:ascii="Times New Roman" w:hAnsi="Times New Roman"/>
                <w:i/>
                <w:sz w:val="20"/>
              </w:rPr>
              <w:t>. Effect of Recapitalizations, Reclassifications and Changes of the Common Stock</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14.08 </w:t>
            </w:r>
            <w:r>
              <w:rPr>
                <w:rFonts w:ascii="Times New Roman" w:hAnsi="Times New Roman"/>
                <w:i/>
                <w:sz w:val="20"/>
              </w:rPr>
              <w:t>. Certain Covenants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14.09 </w:t>
            </w:r>
            <w:r>
              <w:rPr>
                <w:rFonts w:ascii="Times New Roman" w:hAnsi="Times New Roman"/>
                <w:i/>
                <w:sz w:val="20"/>
              </w:rPr>
              <w:t>. Responsibility of Trustee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14.10 </w:t>
            </w:r>
            <w:r>
              <w:rPr>
                <w:rFonts w:ascii="Times New Roman" w:hAnsi="Times New Roman"/>
                <w:i/>
                <w:sz w:val="20"/>
              </w:rPr>
              <w:t>. Notice to Holders Prior to Certain Actions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14.11 . </w:t>
            </w:r>
            <w:r>
              <w:rPr>
                <w:rFonts w:ascii="Times New Roman" w:hAnsi="Times New Roman"/>
                <w:i/>
                <w:sz w:val="20"/>
              </w:rPr>
              <w:t>Stockholder Rights Plans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14.12 </w:t>
            </w:r>
            <w:r>
              <w:rPr>
                <w:rFonts w:ascii="Times New Roman" w:hAnsi="Times New Roman"/>
                <w:i/>
                <w:sz w:val="20"/>
              </w:rPr>
              <w:t>. Exchange in Lieu of Conversion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tcPr>
          <w:p>
            <w:pPr>
              <w:pStyle w:val="TableContents"/>
              <w:bidi w:val="0"/>
              <w:spacing w:before="0" w:after="283"/>
              <w:jc w:val="center"/>
              <w:rPr/>
            </w:pPr>
            <w:r>
              <w:rPr/>
              <w:t>ARTICLE 15</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651" w:type="dxa"/>
            <w:tcBorders/>
          </w:tcPr>
          <w:p>
            <w:pPr>
              <w:pStyle w:val="TableContents"/>
              <w:bidi w:val="0"/>
              <w:spacing w:before="0" w:after="283"/>
              <w:jc w:val="center"/>
              <w:rPr/>
            </w:pPr>
            <w:r>
              <w:rPr/>
              <w:t>R</w:t>
            </w:r>
            <w:r>
              <w:rPr>
                <w:sz w:val="20"/>
              </w:rPr>
              <w:t>EPURCHASE</w:t>
            </w:r>
            <w:r>
              <w:rPr/>
              <w:t xml:space="preserve"> </w:t>
            </w:r>
            <w:r>
              <w:rPr>
                <w:sz w:val="20"/>
              </w:rPr>
              <w:t>OF</w:t>
            </w:r>
            <w:r>
              <w:rPr/>
              <w:t xml:space="preserve"> N</w:t>
            </w:r>
            <w:r>
              <w:rPr>
                <w:sz w:val="20"/>
              </w:rPr>
              <w:t>OTES</w:t>
            </w:r>
            <w:r>
              <w:rPr/>
              <w:t xml:space="preserve"> </w:t>
            </w:r>
            <w:r>
              <w:rPr>
                <w:sz w:val="20"/>
              </w:rPr>
              <w:t>AT</w:t>
            </w:r>
            <w:r>
              <w:rPr/>
              <w:t xml:space="preserve"> O</w:t>
            </w:r>
            <w:r>
              <w:rPr>
                <w:sz w:val="20"/>
              </w:rPr>
              <w:t>PTION</w:t>
            </w:r>
            <w:r>
              <w:rPr/>
              <w:t xml:space="preserve"> </w:t>
            </w:r>
            <w:r>
              <w:rPr>
                <w:sz w:val="20"/>
              </w:rPr>
              <w:t>OF</w:t>
            </w:r>
            <w:r>
              <w:rPr/>
              <w:t xml:space="preserve"> H</w:t>
            </w:r>
            <w:r>
              <w:rPr>
                <w:sz w:val="20"/>
              </w:rPr>
              <w:t>OLDERS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651" w:type="dxa"/>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9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15.01 </w:t>
            </w:r>
            <w:r>
              <w:rPr>
                <w:rFonts w:ascii="Times New Roman" w:hAnsi="Times New Roman"/>
                <w:i/>
                <w:sz w:val="20"/>
              </w:rPr>
              <w:t xml:space="preserve">. </w:t>
            </w:r>
            <w:r>
              <w:rPr>
                <w:rFonts w:ascii="Times New Roman" w:hAnsi="Times New Roman"/>
                <w:sz w:val="20"/>
              </w:rPr>
              <w:t>[</w:t>
            </w:r>
            <w:r>
              <w:rPr>
                <w:rFonts w:ascii="Times New Roman" w:hAnsi="Times New Roman"/>
                <w:i/>
                <w:sz w:val="20"/>
              </w:rPr>
              <w:t>Reserved</w:t>
            </w:r>
            <w:r>
              <w:rPr>
                <w:rFonts w:ascii="Times New Roman" w:hAnsi="Times New Roman"/>
                <w:sz w:val="20"/>
              </w:rPr>
              <w:t>]</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15.02 </w:t>
            </w:r>
            <w:r>
              <w:rPr>
                <w:rFonts w:ascii="Times New Roman" w:hAnsi="Times New Roman"/>
                <w:i/>
                <w:sz w:val="20"/>
              </w:rPr>
              <w:t>. Repurchase</w:t>
            </w:r>
            <w:r>
              <w:rPr>
                <w:rFonts w:ascii="Times New Roman" w:hAnsi="Times New Roman"/>
                <w:sz w:val="20"/>
              </w:rPr>
              <w:t xml:space="preserve"> </w:t>
            </w:r>
            <w:r>
              <w:rPr>
                <w:rFonts w:ascii="Times New Roman" w:hAnsi="Times New Roman"/>
                <w:i/>
                <w:sz w:val="20"/>
              </w:rPr>
              <w:t>at Option of Holders Upon a Fundamental Change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15.03 </w:t>
            </w:r>
            <w:r>
              <w:rPr>
                <w:rFonts w:ascii="Times New Roman" w:hAnsi="Times New Roman"/>
                <w:i/>
                <w:sz w:val="20"/>
              </w:rPr>
              <w:t>. Withdrawal of Fundamental Change Repurchase Notice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15.04 . </w:t>
            </w:r>
            <w:r>
              <w:rPr>
                <w:rFonts w:ascii="Times New Roman" w:hAnsi="Times New Roman"/>
                <w:i/>
                <w:sz w:val="20"/>
              </w:rPr>
              <w:t>Deposit of Repurchase Price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15.05 . </w:t>
            </w:r>
            <w:r>
              <w:rPr>
                <w:rFonts w:ascii="Times New Roman" w:hAnsi="Times New Roman"/>
                <w:i/>
                <w:sz w:val="20"/>
              </w:rPr>
              <w:t>Covenant to Comply with Applicable Laws Upon Repurchase of Notes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532"/>
        <w:gridCol w:w="157"/>
        <w:gridCol w:w="60"/>
        <w:gridCol w:w="394"/>
        <w:gridCol w:w="62"/>
      </w:tblGrid>
      <w:tr>
        <w:trPr/>
        <w:tc>
          <w:tcPr>
            <w:tcW w:w="9532"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32" w:type="dxa"/>
            <w:tcBorders/>
          </w:tcPr>
          <w:p>
            <w:pPr>
              <w:pStyle w:val="TableContents"/>
              <w:bidi w:val="0"/>
              <w:spacing w:before="0" w:after="283"/>
              <w:jc w:val="center"/>
              <w:rPr/>
            </w:pPr>
            <w:r>
              <w:rPr/>
              <w:t>ARTICLE 16</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532" w:type="dxa"/>
            <w:tcBorders/>
          </w:tcPr>
          <w:p>
            <w:pPr>
              <w:pStyle w:val="TableContents"/>
              <w:bidi w:val="0"/>
              <w:spacing w:before="0" w:after="283"/>
              <w:jc w:val="center"/>
              <w:rPr/>
            </w:pPr>
            <w:r>
              <w:rPr/>
              <w:t>O</w:t>
            </w:r>
            <w:r>
              <w:rPr>
                <w:sz w:val="20"/>
              </w:rPr>
              <w:t>PTIONAL</w:t>
            </w:r>
            <w:r>
              <w:rPr/>
              <w:t xml:space="preserve"> R</w:t>
            </w:r>
            <w:r>
              <w:rPr>
                <w:sz w:val="20"/>
              </w:rPr>
              <w:t>EDEMPTION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32" w:type="dxa"/>
            <w:tcBorders/>
            <w:vAlign w:val="center"/>
          </w:tcPr>
          <w:p>
            <w:pPr>
              <w:pStyle w:val="TableContents"/>
              <w:bidi w:val="0"/>
              <w:spacing w:before="0" w:after="283"/>
              <w:jc w:val="left"/>
              <w:rPr>
                <w:sz w:val="4"/>
                <w:szCs w:val="4"/>
              </w:rPr>
            </w:pPr>
            <w:r>
              <w:rPr>
                <w:sz w:val="4"/>
                <w:szCs w:val="4"/>
              </w:rPr>
            </w:r>
          </w:p>
        </w:tc>
        <w:tc>
          <w:tcPr>
            <w:tcW w:w="673" w:type="dxa"/>
            <w:gridSpan w:val="4"/>
            <w:tcBorders/>
            <w:vAlign w:val="center"/>
          </w:tcPr>
          <w:p>
            <w:pPr>
              <w:pStyle w:val="TableContents"/>
              <w:bidi w:val="0"/>
              <w:spacing w:before="0" w:after="283"/>
              <w:jc w:val="left"/>
              <w:rPr>
                <w:sz w:val="4"/>
                <w:szCs w:val="4"/>
              </w:rPr>
            </w:pPr>
            <w:r>
              <w:rPr>
                <w:sz w:val="4"/>
                <w:szCs w:val="4"/>
              </w:rPr>
            </w:r>
          </w:p>
        </w:tc>
      </w:tr>
      <w:tr>
        <w:trPr/>
        <w:tc>
          <w:tcPr>
            <w:tcW w:w="953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16.01 . </w:t>
            </w:r>
            <w:r>
              <w:rPr>
                <w:rFonts w:ascii="Times New Roman" w:hAnsi="Times New Roman"/>
                <w:i/>
                <w:sz w:val="20"/>
              </w:rPr>
              <w:t>Optional Redemption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99</w:t>
            </w:r>
          </w:p>
        </w:tc>
        <w:tc>
          <w:tcPr>
            <w:tcW w:w="62" w:type="dxa"/>
            <w:tcBorders/>
            <w:vAlign w:val="bottom"/>
          </w:tcPr>
          <w:p>
            <w:pPr>
              <w:pStyle w:val="TableContents"/>
              <w:bidi w:val="0"/>
              <w:spacing w:before="0" w:after="283"/>
              <w:jc w:val="left"/>
              <w:rPr/>
            </w:pPr>
            <w:r>
              <w:rPr/>
              <w:t> </w:t>
            </w:r>
          </w:p>
        </w:tc>
      </w:tr>
      <w:tr>
        <w:trPr/>
        <w:tc>
          <w:tcPr>
            <w:tcW w:w="953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16.02 . </w:t>
            </w:r>
            <w:r>
              <w:rPr>
                <w:rFonts w:ascii="Times New Roman" w:hAnsi="Times New Roman"/>
                <w:i/>
                <w:sz w:val="20"/>
              </w:rPr>
              <w:t>Notice of Optional Redemption; Selection of Notes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100</w:t>
            </w:r>
          </w:p>
        </w:tc>
        <w:tc>
          <w:tcPr>
            <w:tcW w:w="62" w:type="dxa"/>
            <w:tcBorders/>
            <w:vAlign w:val="bottom"/>
          </w:tcPr>
          <w:p>
            <w:pPr>
              <w:pStyle w:val="TableContents"/>
              <w:bidi w:val="0"/>
              <w:spacing w:before="0" w:after="283"/>
              <w:jc w:val="left"/>
              <w:rPr/>
            </w:pPr>
            <w:r>
              <w:rPr/>
              <w:t> </w:t>
            </w:r>
          </w:p>
        </w:tc>
      </w:tr>
      <w:tr>
        <w:trPr/>
        <w:tc>
          <w:tcPr>
            <w:tcW w:w="953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16.03 . </w:t>
            </w:r>
            <w:r>
              <w:rPr>
                <w:rFonts w:ascii="Times New Roman" w:hAnsi="Times New Roman"/>
                <w:i/>
                <w:sz w:val="20"/>
              </w:rPr>
              <w:t>Payment of Notes Called for Redemption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101</w:t>
            </w:r>
          </w:p>
        </w:tc>
        <w:tc>
          <w:tcPr>
            <w:tcW w:w="62" w:type="dxa"/>
            <w:tcBorders/>
            <w:vAlign w:val="bottom"/>
          </w:tcPr>
          <w:p>
            <w:pPr>
              <w:pStyle w:val="TableContents"/>
              <w:bidi w:val="0"/>
              <w:spacing w:before="0" w:after="283"/>
              <w:jc w:val="left"/>
              <w:rPr/>
            </w:pPr>
            <w:r>
              <w:rPr/>
              <w:t> </w:t>
            </w:r>
          </w:p>
        </w:tc>
      </w:tr>
      <w:tr>
        <w:trPr/>
        <w:tc>
          <w:tcPr>
            <w:tcW w:w="953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16.04 . </w:t>
            </w:r>
            <w:r>
              <w:rPr>
                <w:rFonts w:ascii="Times New Roman" w:hAnsi="Times New Roman"/>
                <w:i/>
                <w:sz w:val="20"/>
              </w:rPr>
              <w:t>Restrictions on Redemption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101</w:t>
            </w:r>
          </w:p>
        </w:tc>
        <w:tc>
          <w:tcPr>
            <w:tcW w:w="62" w:type="dxa"/>
            <w:tcBorders/>
            <w:vAlign w:val="bottom"/>
          </w:tcPr>
          <w:p>
            <w:pPr>
              <w:pStyle w:val="TableContents"/>
              <w:bidi w:val="0"/>
              <w:spacing w:before="0" w:after="283"/>
              <w:jc w:val="left"/>
              <w:rPr/>
            </w:pPr>
            <w:r>
              <w:rPr/>
              <w:t> </w:t>
            </w:r>
          </w:p>
        </w:tc>
      </w:tr>
      <w:tr>
        <w:trPr>
          <w:trHeight w:val="120" w:hRule="atLeast"/>
        </w:trPr>
        <w:tc>
          <w:tcPr>
            <w:tcW w:w="9532" w:type="dxa"/>
            <w:tcBorders/>
            <w:vAlign w:val="center"/>
          </w:tcPr>
          <w:p>
            <w:pPr>
              <w:pStyle w:val="TableContents"/>
              <w:bidi w:val="0"/>
              <w:spacing w:before="0" w:after="283"/>
              <w:jc w:val="left"/>
              <w:rPr>
                <w:sz w:val="4"/>
                <w:szCs w:val="4"/>
              </w:rPr>
            </w:pPr>
            <w:r>
              <w:rPr>
                <w:sz w:val="4"/>
                <w:szCs w:val="4"/>
              </w:rPr>
            </w:r>
          </w:p>
        </w:tc>
        <w:tc>
          <w:tcPr>
            <w:tcW w:w="673" w:type="dxa"/>
            <w:gridSpan w:val="4"/>
            <w:tcBorders/>
            <w:vAlign w:val="center"/>
          </w:tcPr>
          <w:p>
            <w:pPr>
              <w:pStyle w:val="TableContents"/>
              <w:bidi w:val="0"/>
              <w:spacing w:before="0" w:after="283"/>
              <w:jc w:val="left"/>
              <w:rPr>
                <w:sz w:val="4"/>
                <w:szCs w:val="4"/>
              </w:rPr>
            </w:pPr>
            <w:r>
              <w:rPr>
                <w:sz w:val="4"/>
                <w:szCs w:val="4"/>
              </w:rPr>
            </w:r>
          </w:p>
        </w:tc>
      </w:tr>
      <w:tr>
        <w:trPr/>
        <w:tc>
          <w:tcPr>
            <w:tcW w:w="9532" w:type="dxa"/>
            <w:tcBorders/>
          </w:tcPr>
          <w:p>
            <w:pPr>
              <w:pStyle w:val="TableContents"/>
              <w:bidi w:val="0"/>
              <w:spacing w:before="0" w:after="283"/>
              <w:jc w:val="center"/>
              <w:rPr/>
            </w:pPr>
            <w:r>
              <w:rPr/>
              <w:t>ARTICLE 17</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532" w:type="dxa"/>
            <w:tcBorders/>
          </w:tcPr>
          <w:p>
            <w:pPr>
              <w:pStyle w:val="TableContents"/>
              <w:bidi w:val="0"/>
              <w:spacing w:before="0" w:after="283"/>
              <w:jc w:val="center"/>
              <w:rPr/>
            </w:pPr>
            <w:r>
              <w:rPr/>
              <w:t>M</w:t>
            </w:r>
            <w:r>
              <w:rPr>
                <w:sz w:val="20"/>
              </w:rPr>
              <w:t>ISCELLANEOUS</w:t>
            </w:r>
            <w:r>
              <w:rPr/>
              <w:t xml:space="preserve"> P</w:t>
            </w:r>
            <w:r>
              <w:rPr>
                <w:sz w:val="20"/>
              </w:rPr>
              <w:t>ROVISIONS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532" w:type="dxa"/>
            <w:tcBorders/>
            <w:vAlign w:val="center"/>
          </w:tcPr>
          <w:p>
            <w:pPr>
              <w:pStyle w:val="TableContents"/>
              <w:bidi w:val="0"/>
              <w:spacing w:before="0" w:after="283"/>
              <w:jc w:val="left"/>
              <w:rPr>
                <w:sz w:val="4"/>
                <w:szCs w:val="4"/>
              </w:rPr>
            </w:pPr>
            <w:r>
              <w:rPr>
                <w:sz w:val="4"/>
                <w:szCs w:val="4"/>
              </w:rPr>
            </w:r>
          </w:p>
        </w:tc>
        <w:tc>
          <w:tcPr>
            <w:tcW w:w="673" w:type="dxa"/>
            <w:gridSpan w:val="4"/>
            <w:tcBorders/>
            <w:vAlign w:val="center"/>
          </w:tcPr>
          <w:p>
            <w:pPr>
              <w:pStyle w:val="TableContents"/>
              <w:bidi w:val="0"/>
              <w:spacing w:before="0" w:after="283"/>
              <w:jc w:val="left"/>
              <w:rPr>
                <w:sz w:val="4"/>
                <w:szCs w:val="4"/>
              </w:rPr>
            </w:pPr>
            <w:r>
              <w:rPr>
                <w:sz w:val="4"/>
                <w:szCs w:val="4"/>
              </w:rPr>
            </w:r>
          </w:p>
        </w:tc>
      </w:tr>
      <w:tr>
        <w:trPr/>
        <w:tc>
          <w:tcPr>
            <w:tcW w:w="953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17.01 </w:t>
            </w:r>
            <w:r>
              <w:rPr>
                <w:rFonts w:ascii="Times New Roman" w:hAnsi="Times New Roman"/>
                <w:i/>
                <w:sz w:val="20"/>
              </w:rPr>
              <w:t>. Provisions Binding on the Company’s Successors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102</w:t>
            </w:r>
          </w:p>
        </w:tc>
        <w:tc>
          <w:tcPr>
            <w:tcW w:w="62" w:type="dxa"/>
            <w:tcBorders/>
            <w:vAlign w:val="bottom"/>
          </w:tcPr>
          <w:p>
            <w:pPr>
              <w:pStyle w:val="TableContents"/>
              <w:bidi w:val="0"/>
              <w:spacing w:before="0" w:after="283"/>
              <w:jc w:val="left"/>
              <w:rPr/>
            </w:pPr>
            <w:r>
              <w:rPr/>
              <w:t> </w:t>
            </w:r>
          </w:p>
        </w:tc>
      </w:tr>
      <w:tr>
        <w:trPr/>
        <w:tc>
          <w:tcPr>
            <w:tcW w:w="953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17.02 </w:t>
            </w:r>
            <w:r>
              <w:rPr>
                <w:rFonts w:ascii="Times New Roman" w:hAnsi="Times New Roman"/>
                <w:i/>
                <w:sz w:val="20"/>
              </w:rPr>
              <w:t>. Official Acts by Successor Entity</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102</w:t>
            </w:r>
          </w:p>
        </w:tc>
        <w:tc>
          <w:tcPr>
            <w:tcW w:w="62" w:type="dxa"/>
            <w:tcBorders/>
            <w:vAlign w:val="bottom"/>
          </w:tcPr>
          <w:p>
            <w:pPr>
              <w:pStyle w:val="TableContents"/>
              <w:bidi w:val="0"/>
              <w:spacing w:before="0" w:after="283"/>
              <w:jc w:val="left"/>
              <w:rPr/>
            </w:pPr>
            <w:r>
              <w:rPr/>
              <w:t> </w:t>
            </w:r>
          </w:p>
        </w:tc>
      </w:tr>
      <w:tr>
        <w:trPr/>
        <w:tc>
          <w:tcPr>
            <w:tcW w:w="953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17.03 </w:t>
            </w:r>
            <w:r>
              <w:rPr>
                <w:rFonts w:ascii="Times New Roman" w:hAnsi="Times New Roman"/>
                <w:i/>
                <w:sz w:val="20"/>
              </w:rPr>
              <w:t>. Addresses for Notices, Etc.</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102</w:t>
            </w:r>
          </w:p>
        </w:tc>
        <w:tc>
          <w:tcPr>
            <w:tcW w:w="62" w:type="dxa"/>
            <w:tcBorders/>
            <w:vAlign w:val="bottom"/>
          </w:tcPr>
          <w:p>
            <w:pPr>
              <w:pStyle w:val="TableContents"/>
              <w:bidi w:val="0"/>
              <w:spacing w:before="0" w:after="283"/>
              <w:jc w:val="left"/>
              <w:rPr/>
            </w:pPr>
            <w:r>
              <w:rPr/>
              <w:t> </w:t>
            </w:r>
          </w:p>
        </w:tc>
      </w:tr>
      <w:tr>
        <w:trPr/>
        <w:tc>
          <w:tcPr>
            <w:tcW w:w="953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17.04 </w:t>
            </w:r>
            <w:r>
              <w:rPr>
                <w:rFonts w:ascii="Times New Roman" w:hAnsi="Times New Roman"/>
                <w:i/>
                <w:sz w:val="20"/>
              </w:rPr>
              <w:t>. Governing Law; Jurisdiction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103</w:t>
            </w:r>
          </w:p>
        </w:tc>
        <w:tc>
          <w:tcPr>
            <w:tcW w:w="62" w:type="dxa"/>
            <w:tcBorders/>
            <w:vAlign w:val="bottom"/>
          </w:tcPr>
          <w:p>
            <w:pPr>
              <w:pStyle w:val="TableContents"/>
              <w:bidi w:val="0"/>
              <w:spacing w:before="0" w:after="283"/>
              <w:jc w:val="left"/>
              <w:rPr/>
            </w:pPr>
            <w:r>
              <w:rPr/>
              <w:t> </w:t>
            </w:r>
          </w:p>
        </w:tc>
      </w:tr>
      <w:tr>
        <w:trPr/>
        <w:tc>
          <w:tcPr>
            <w:tcW w:w="953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17.05 </w:t>
            </w:r>
            <w:r>
              <w:rPr>
                <w:rFonts w:ascii="Times New Roman" w:hAnsi="Times New Roman"/>
                <w:i/>
                <w:sz w:val="20"/>
              </w:rPr>
              <w:t>. Evidence of Compliance with Conditions Precedent; Certificates and Opinions of Counsel to Trustee</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103</w:t>
            </w:r>
          </w:p>
        </w:tc>
        <w:tc>
          <w:tcPr>
            <w:tcW w:w="62" w:type="dxa"/>
            <w:tcBorders/>
            <w:vAlign w:val="bottom"/>
          </w:tcPr>
          <w:p>
            <w:pPr>
              <w:pStyle w:val="TableContents"/>
              <w:bidi w:val="0"/>
              <w:spacing w:before="0" w:after="283"/>
              <w:jc w:val="left"/>
              <w:rPr/>
            </w:pPr>
            <w:r>
              <w:rPr/>
              <w:t> </w:t>
            </w:r>
          </w:p>
        </w:tc>
      </w:tr>
      <w:tr>
        <w:trPr/>
        <w:tc>
          <w:tcPr>
            <w:tcW w:w="953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17.06 </w:t>
            </w:r>
            <w:r>
              <w:rPr>
                <w:rFonts w:ascii="Times New Roman" w:hAnsi="Times New Roman"/>
                <w:i/>
                <w:sz w:val="20"/>
              </w:rPr>
              <w:t>. Legal Holidays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104</w:t>
            </w:r>
          </w:p>
        </w:tc>
        <w:tc>
          <w:tcPr>
            <w:tcW w:w="62" w:type="dxa"/>
            <w:tcBorders/>
            <w:vAlign w:val="bottom"/>
          </w:tcPr>
          <w:p>
            <w:pPr>
              <w:pStyle w:val="TableContents"/>
              <w:bidi w:val="0"/>
              <w:spacing w:before="0" w:after="283"/>
              <w:jc w:val="left"/>
              <w:rPr/>
            </w:pPr>
            <w:r>
              <w:rPr/>
              <w:t> </w:t>
            </w:r>
          </w:p>
        </w:tc>
      </w:tr>
      <w:tr>
        <w:trPr/>
        <w:tc>
          <w:tcPr>
            <w:tcW w:w="953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17.07 </w:t>
            </w:r>
            <w:r>
              <w:rPr>
                <w:rFonts w:ascii="Times New Roman" w:hAnsi="Times New Roman"/>
                <w:i/>
                <w:sz w:val="20"/>
              </w:rPr>
              <w:t>. No Security Interest Created</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104</w:t>
            </w:r>
          </w:p>
        </w:tc>
        <w:tc>
          <w:tcPr>
            <w:tcW w:w="62" w:type="dxa"/>
            <w:tcBorders/>
            <w:vAlign w:val="bottom"/>
          </w:tcPr>
          <w:p>
            <w:pPr>
              <w:pStyle w:val="TableContents"/>
              <w:bidi w:val="0"/>
              <w:spacing w:before="0" w:after="283"/>
              <w:jc w:val="left"/>
              <w:rPr/>
            </w:pPr>
            <w:r>
              <w:rPr/>
              <w:t> </w:t>
            </w:r>
          </w:p>
        </w:tc>
      </w:tr>
      <w:tr>
        <w:trPr/>
        <w:tc>
          <w:tcPr>
            <w:tcW w:w="953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17.08 </w:t>
            </w:r>
            <w:r>
              <w:rPr>
                <w:rFonts w:ascii="Times New Roman" w:hAnsi="Times New Roman"/>
                <w:i/>
                <w:sz w:val="20"/>
              </w:rPr>
              <w:t>. Benefits of Indenture</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104</w:t>
            </w:r>
          </w:p>
        </w:tc>
        <w:tc>
          <w:tcPr>
            <w:tcW w:w="62" w:type="dxa"/>
            <w:tcBorders/>
            <w:vAlign w:val="bottom"/>
          </w:tcPr>
          <w:p>
            <w:pPr>
              <w:pStyle w:val="TableContents"/>
              <w:bidi w:val="0"/>
              <w:spacing w:before="0" w:after="283"/>
              <w:jc w:val="left"/>
              <w:rPr/>
            </w:pPr>
            <w:r>
              <w:rPr/>
              <w:t> </w:t>
            </w:r>
          </w:p>
        </w:tc>
      </w:tr>
      <w:tr>
        <w:trPr/>
        <w:tc>
          <w:tcPr>
            <w:tcW w:w="953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17.09 </w:t>
            </w:r>
            <w:r>
              <w:rPr>
                <w:rFonts w:ascii="Times New Roman" w:hAnsi="Times New Roman"/>
                <w:i/>
                <w:sz w:val="20"/>
              </w:rPr>
              <w:t>. Table of Contents, Headings, Etc.</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104</w:t>
            </w:r>
          </w:p>
        </w:tc>
        <w:tc>
          <w:tcPr>
            <w:tcW w:w="62" w:type="dxa"/>
            <w:tcBorders/>
            <w:vAlign w:val="bottom"/>
          </w:tcPr>
          <w:p>
            <w:pPr>
              <w:pStyle w:val="TableContents"/>
              <w:bidi w:val="0"/>
              <w:spacing w:before="0" w:after="283"/>
              <w:jc w:val="left"/>
              <w:rPr/>
            </w:pPr>
            <w:r>
              <w:rPr/>
              <w:t> </w:t>
            </w:r>
          </w:p>
        </w:tc>
      </w:tr>
      <w:tr>
        <w:trPr/>
        <w:tc>
          <w:tcPr>
            <w:tcW w:w="953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17.10 </w:t>
            </w:r>
            <w:r>
              <w:rPr>
                <w:rFonts w:ascii="Times New Roman" w:hAnsi="Times New Roman"/>
                <w:i/>
                <w:sz w:val="20"/>
              </w:rPr>
              <w:t>. Authenticating Agent</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105</w:t>
            </w:r>
          </w:p>
        </w:tc>
        <w:tc>
          <w:tcPr>
            <w:tcW w:w="62" w:type="dxa"/>
            <w:tcBorders/>
            <w:vAlign w:val="bottom"/>
          </w:tcPr>
          <w:p>
            <w:pPr>
              <w:pStyle w:val="TableContents"/>
              <w:bidi w:val="0"/>
              <w:spacing w:before="0" w:after="283"/>
              <w:jc w:val="left"/>
              <w:rPr/>
            </w:pPr>
            <w:r>
              <w:rPr/>
              <w:t> </w:t>
            </w:r>
          </w:p>
        </w:tc>
      </w:tr>
      <w:tr>
        <w:trPr/>
        <w:tc>
          <w:tcPr>
            <w:tcW w:w="953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17.11 . </w:t>
            </w:r>
            <w:r>
              <w:rPr>
                <w:rFonts w:ascii="Times New Roman" w:hAnsi="Times New Roman"/>
                <w:i/>
                <w:sz w:val="20"/>
              </w:rPr>
              <w:t>Execution in Counterparts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106</w:t>
            </w:r>
          </w:p>
        </w:tc>
        <w:tc>
          <w:tcPr>
            <w:tcW w:w="62" w:type="dxa"/>
            <w:tcBorders/>
            <w:vAlign w:val="bottom"/>
          </w:tcPr>
          <w:p>
            <w:pPr>
              <w:pStyle w:val="TableContents"/>
              <w:bidi w:val="0"/>
              <w:spacing w:before="0" w:after="283"/>
              <w:jc w:val="left"/>
              <w:rPr/>
            </w:pPr>
            <w:r>
              <w:rPr/>
              <w:t> </w:t>
            </w:r>
          </w:p>
        </w:tc>
      </w:tr>
      <w:tr>
        <w:trPr/>
        <w:tc>
          <w:tcPr>
            <w:tcW w:w="953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17.12 </w:t>
            </w:r>
            <w:r>
              <w:rPr>
                <w:rFonts w:ascii="Times New Roman" w:hAnsi="Times New Roman"/>
                <w:i/>
                <w:sz w:val="20"/>
              </w:rPr>
              <w:t>. Severability</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106</w:t>
            </w:r>
          </w:p>
        </w:tc>
        <w:tc>
          <w:tcPr>
            <w:tcW w:w="62" w:type="dxa"/>
            <w:tcBorders/>
            <w:vAlign w:val="bottom"/>
          </w:tcPr>
          <w:p>
            <w:pPr>
              <w:pStyle w:val="TableContents"/>
              <w:bidi w:val="0"/>
              <w:spacing w:before="0" w:after="283"/>
              <w:jc w:val="left"/>
              <w:rPr/>
            </w:pPr>
            <w:r>
              <w:rPr/>
              <w:t> </w:t>
            </w:r>
          </w:p>
        </w:tc>
      </w:tr>
      <w:tr>
        <w:trPr/>
        <w:tc>
          <w:tcPr>
            <w:tcW w:w="953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17.13 </w:t>
            </w:r>
            <w:r>
              <w:rPr>
                <w:rFonts w:ascii="Times New Roman" w:hAnsi="Times New Roman"/>
                <w:i/>
                <w:sz w:val="20"/>
              </w:rPr>
              <w:t>. Waiver of Jury Trial</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106</w:t>
            </w:r>
          </w:p>
        </w:tc>
        <w:tc>
          <w:tcPr>
            <w:tcW w:w="62" w:type="dxa"/>
            <w:tcBorders/>
            <w:vAlign w:val="bottom"/>
          </w:tcPr>
          <w:p>
            <w:pPr>
              <w:pStyle w:val="TableContents"/>
              <w:bidi w:val="0"/>
              <w:spacing w:before="0" w:after="283"/>
              <w:jc w:val="left"/>
              <w:rPr/>
            </w:pPr>
            <w:r>
              <w:rPr/>
              <w:t> </w:t>
            </w:r>
          </w:p>
        </w:tc>
      </w:tr>
      <w:tr>
        <w:trPr/>
        <w:tc>
          <w:tcPr>
            <w:tcW w:w="953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17.14 </w:t>
            </w:r>
            <w:r>
              <w:rPr>
                <w:rFonts w:ascii="Times New Roman" w:hAnsi="Times New Roman"/>
                <w:i/>
                <w:sz w:val="20"/>
              </w:rPr>
              <w:t>. Force Majeure</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106</w:t>
            </w:r>
          </w:p>
        </w:tc>
        <w:tc>
          <w:tcPr>
            <w:tcW w:w="62" w:type="dxa"/>
            <w:tcBorders/>
            <w:vAlign w:val="bottom"/>
          </w:tcPr>
          <w:p>
            <w:pPr>
              <w:pStyle w:val="TableContents"/>
              <w:bidi w:val="0"/>
              <w:spacing w:before="0" w:after="283"/>
              <w:jc w:val="left"/>
              <w:rPr/>
            </w:pPr>
            <w:r>
              <w:rPr/>
              <w:t> </w:t>
            </w:r>
          </w:p>
        </w:tc>
      </w:tr>
      <w:tr>
        <w:trPr/>
        <w:tc>
          <w:tcPr>
            <w:tcW w:w="953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17.15 </w:t>
            </w:r>
            <w:r>
              <w:rPr>
                <w:rFonts w:ascii="Times New Roman" w:hAnsi="Times New Roman"/>
                <w:i/>
                <w:sz w:val="20"/>
              </w:rPr>
              <w:t>. Calculations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106</w:t>
            </w:r>
          </w:p>
        </w:tc>
        <w:tc>
          <w:tcPr>
            <w:tcW w:w="62" w:type="dxa"/>
            <w:tcBorders/>
            <w:vAlign w:val="bottom"/>
          </w:tcPr>
          <w:p>
            <w:pPr>
              <w:pStyle w:val="TableContents"/>
              <w:bidi w:val="0"/>
              <w:spacing w:before="0" w:after="283"/>
              <w:jc w:val="left"/>
              <w:rPr/>
            </w:pPr>
            <w:r>
              <w:rPr/>
              <w:t> </w:t>
            </w:r>
          </w:p>
        </w:tc>
      </w:tr>
      <w:tr>
        <w:trPr/>
        <w:tc>
          <w:tcPr>
            <w:tcW w:w="953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17.16 . </w:t>
            </w:r>
            <w:r>
              <w:rPr>
                <w:rFonts w:ascii="Times New Roman" w:hAnsi="Times New Roman"/>
                <w:i/>
                <w:sz w:val="20"/>
              </w:rPr>
              <w:t>USA PATRIOT Act</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107</w:t>
            </w:r>
          </w:p>
        </w:tc>
        <w:tc>
          <w:tcPr>
            <w:tcW w:w="62" w:type="dxa"/>
            <w:tcBorders/>
            <w:vAlign w:val="bottom"/>
          </w:tcPr>
          <w:p>
            <w:pPr>
              <w:pStyle w:val="TableContents"/>
              <w:bidi w:val="0"/>
              <w:spacing w:before="0" w:after="283"/>
              <w:jc w:val="left"/>
              <w:rPr/>
            </w:pPr>
            <w:r>
              <w:rPr/>
              <w:t> </w:t>
            </w:r>
          </w:p>
        </w:tc>
      </w:tr>
      <w:tr>
        <w:trPr/>
        <w:tc>
          <w:tcPr>
            <w:tcW w:w="953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Section 17.17 . </w:t>
            </w:r>
            <w:r>
              <w:rPr>
                <w:rFonts w:ascii="Times New Roman" w:hAnsi="Times New Roman"/>
                <w:i/>
                <w:sz w:val="20"/>
              </w:rPr>
              <w:t>Electronic Signatures</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right"/>
              <w:rPr/>
            </w:pPr>
            <w:r>
              <w:rPr/>
              <w:t>107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81"/>
        <w:gridCol w:w="131"/>
        <w:gridCol w:w="8191"/>
        <w:gridCol w:w="131"/>
        <w:gridCol w:w="371"/>
      </w:tblGrid>
      <w:tr>
        <w:trPr/>
        <w:tc>
          <w:tcPr>
            <w:tcW w:w="1381"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8191"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381" w:type="dxa"/>
            <w:tcBorders/>
          </w:tcPr>
          <w:p>
            <w:pPr>
              <w:pStyle w:val="TableContents"/>
              <w:bidi w:val="0"/>
              <w:spacing w:before="0" w:after="283"/>
              <w:jc w:val="left"/>
              <w:rPr>
                <w:b/>
              </w:rPr>
            </w:pPr>
            <w:r>
              <w:rPr>
                <w:b/>
              </w:rPr>
              <w:t>SCHEDULE</w:t>
            </w:r>
          </w:p>
        </w:tc>
        <w:tc>
          <w:tcPr>
            <w:tcW w:w="131" w:type="dxa"/>
            <w:tcBorders/>
            <w:vAlign w:val="bottom"/>
          </w:tcPr>
          <w:p>
            <w:pPr>
              <w:pStyle w:val="TableContents"/>
              <w:bidi w:val="0"/>
              <w:spacing w:before="0" w:after="283"/>
              <w:jc w:val="left"/>
              <w:rPr/>
            </w:pPr>
            <w:r>
              <w:rPr/>
              <w:t>  </w:t>
            </w:r>
          </w:p>
        </w:tc>
        <w:tc>
          <w:tcPr>
            <w:tcW w:w="8191"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sz w:val="4"/>
                <w:szCs w:val="4"/>
              </w:rPr>
            </w:pPr>
            <w:r>
              <w:rPr>
                <w:sz w:val="4"/>
                <w:szCs w:val="4"/>
              </w:rPr>
            </w:r>
          </w:p>
        </w:tc>
      </w:tr>
      <w:tr>
        <w:trPr>
          <w:trHeight w:val="120" w:hRule="atLeast"/>
        </w:trPr>
        <w:tc>
          <w:tcPr>
            <w:tcW w:w="1381" w:type="dxa"/>
            <w:tcBorders/>
            <w:vAlign w:val="center"/>
          </w:tcPr>
          <w:p>
            <w:pPr>
              <w:pStyle w:val="TableContents"/>
              <w:bidi w:val="0"/>
              <w:spacing w:before="0" w:after="283"/>
              <w:jc w:val="left"/>
              <w:rPr>
                <w:sz w:val="4"/>
                <w:szCs w:val="4"/>
              </w:rPr>
            </w:pPr>
            <w:r>
              <w:rPr>
                <w:sz w:val="4"/>
                <w:szCs w:val="4"/>
              </w:rPr>
            </w:r>
          </w:p>
        </w:tc>
        <w:tc>
          <w:tcPr>
            <w:tcW w:w="8322" w:type="dxa"/>
            <w:gridSpan w:val="2"/>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r>
      <w:tr>
        <w:trPr/>
        <w:tc>
          <w:tcPr>
            <w:tcW w:w="1381" w:type="dxa"/>
            <w:tcBorders/>
          </w:tcPr>
          <w:p>
            <w:pPr>
              <w:pStyle w:val="TableContents"/>
              <w:bidi w:val="0"/>
              <w:spacing w:before="0" w:after="283"/>
              <w:jc w:val="left"/>
              <w:rPr/>
            </w:pPr>
            <w:r>
              <w:rPr/>
              <w:t>Schedule 4.11</w:t>
            </w:r>
          </w:p>
        </w:tc>
        <w:tc>
          <w:tcPr>
            <w:tcW w:w="131" w:type="dxa"/>
            <w:tcBorders/>
            <w:vAlign w:val="bottom"/>
          </w:tcPr>
          <w:p>
            <w:pPr>
              <w:pStyle w:val="TableContents"/>
              <w:bidi w:val="0"/>
              <w:spacing w:before="0" w:after="283"/>
              <w:jc w:val="left"/>
              <w:rPr/>
            </w:pPr>
            <w:r>
              <w:rPr/>
              <w:t>  </w:t>
            </w:r>
          </w:p>
        </w:tc>
        <w:tc>
          <w:tcPr>
            <w:tcW w:w="8191" w:type="dxa"/>
            <w:tcBorders/>
          </w:tcPr>
          <w:p>
            <w:pPr>
              <w:pStyle w:val="TableContents"/>
              <w:bidi w:val="0"/>
              <w:spacing w:before="0" w:after="283"/>
              <w:jc w:val="left"/>
              <w:rPr/>
            </w:pPr>
            <w:r>
              <w:rPr/>
              <w:t>Existing Affiliate Transaction Agreements</w:t>
            </w:r>
          </w:p>
        </w:tc>
        <w:tc>
          <w:tcPr>
            <w:tcW w:w="131" w:type="dxa"/>
            <w:tcBorders/>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sz w:val="4"/>
                <w:szCs w:val="4"/>
              </w:rPr>
            </w:pPr>
            <w:r>
              <w:rPr>
                <w:sz w:val="4"/>
                <w:szCs w:val="4"/>
              </w:rPr>
            </w:r>
          </w:p>
        </w:tc>
      </w:tr>
      <w:tr>
        <w:trPr>
          <w:trHeight w:val="120" w:hRule="atLeast"/>
        </w:trPr>
        <w:tc>
          <w:tcPr>
            <w:tcW w:w="1381" w:type="dxa"/>
            <w:tcBorders/>
            <w:vAlign w:val="center"/>
          </w:tcPr>
          <w:p>
            <w:pPr>
              <w:pStyle w:val="TableContents"/>
              <w:bidi w:val="0"/>
              <w:spacing w:before="0" w:after="283"/>
              <w:jc w:val="left"/>
              <w:rPr>
                <w:sz w:val="4"/>
                <w:szCs w:val="4"/>
              </w:rPr>
            </w:pPr>
            <w:r>
              <w:rPr>
                <w:sz w:val="4"/>
                <w:szCs w:val="4"/>
              </w:rPr>
            </w:r>
          </w:p>
        </w:tc>
        <w:tc>
          <w:tcPr>
            <w:tcW w:w="8322" w:type="dxa"/>
            <w:gridSpan w:val="2"/>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r>
      <w:tr>
        <w:trPr/>
        <w:tc>
          <w:tcPr>
            <w:tcW w:w="1381" w:type="dxa"/>
            <w:tcBorders/>
          </w:tcPr>
          <w:p>
            <w:pPr>
              <w:pStyle w:val="TableContents"/>
              <w:bidi w:val="0"/>
              <w:spacing w:before="0" w:after="283"/>
              <w:jc w:val="left"/>
              <w:rPr>
                <w:b/>
              </w:rPr>
            </w:pPr>
            <w:r>
              <w:rPr>
                <w:b/>
              </w:rPr>
              <w:t>EXHIBIT</w:t>
            </w:r>
          </w:p>
        </w:tc>
        <w:tc>
          <w:tcPr>
            <w:tcW w:w="131" w:type="dxa"/>
            <w:tcBorders/>
            <w:vAlign w:val="bottom"/>
          </w:tcPr>
          <w:p>
            <w:pPr>
              <w:pStyle w:val="TableContents"/>
              <w:bidi w:val="0"/>
              <w:spacing w:before="0" w:after="283"/>
              <w:jc w:val="left"/>
              <w:rPr/>
            </w:pPr>
            <w:r>
              <w:rPr/>
              <w:t>  </w:t>
            </w:r>
          </w:p>
        </w:tc>
        <w:tc>
          <w:tcPr>
            <w:tcW w:w="8191" w:type="dxa"/>
            <w:tcBorders/>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sz w:val="4"/>
                <w:szCs w:val="4"/>
              </w:rPr>
            </w:pPr>
            <w:r>
              <w:rPr>
                <w:sz w:val="4"/>
                <w:szCs w:val="4"/>
              </w:rPr>
            </w:r>
          </w:p>
        </w:tc>
      </w:tr>
      <w:tr>
        <w:trPr>
          <w:trHeight w:val="120" w:hRule="atLeast"/>
        </w:trPr>
        <w:tc>
          <w:tcPr>
            <w:tcW w:w="1381" w:type="dxa"/>
            <w:tcBorders/>
            <w:vAlign w:val="center"/>
          </w:tcPr>
          <w:p>
            <w:pPr>
              <w:pStyle w:val="TableContents"/>
              <w:bidi w:val="0"/>
              <w:spacing w:before="0" w:after="283"/>
              <w:jc w:val="left"/>
              <w:rPr>
                <w:sz w:val="4"/>
                <w:szCs w:val="4"/>
              </w:rPr>
            </w:pPr>
            <w:r>
              <w:rPr>
                <w:sz w:val="4"/>
                <w:szCs w:val="4"/>
              </w:rPr>
            </w:r>
          </w:p>
        </w:tc>
        <w:tc>
          <w:tcPr>
            <w:tcW w:w="8322" w:type="dxa"/>
            <w:gridSpan w:val="2"/>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r>
      <w:tr>
        <w:trPr/>
        <w:tc>
          <w:tcPr>
            <w:tcW w:w="1381" w:type="dxa"/>
            <w:tcBorders/>
          </w:tcPr>
          <w:p>
            <w:pPr>
              <w:pStyle w:val="TableContents"/>
              <w:bidi w:val="0"/>
              <w:spacing w:before="0" w:after="283"/>
              <w:jc w:val="left"/>
              <w:rPr/>
            </w:pPr>
            <w:r>
              <w:rPr/>
              <w:t>Exhibit A</w:t>
            </w:r>
          </w:p>
        </w:tc>
        <w:tc>
          <w:tcPr>
            <w:tcW w:w="131" w:type="dxa"/>
            <w:tcBorders/>
            <w:vAlign w:val="bottom"/>
          </w:tcPr>
          <w:p>
            <w:pPr>
              <w:pStyle w:val="TableContents"/>
              <w:bidi w:val="0"/>
              <w:spacing w:before="0" w:after="283"/>
              <w:jc w:val="left"/>
              <w:rPr/>
            </w:pPr>
            <w:r>
              <w:rPr/>
              <w:t>  </w:t>
            </w:r>
          </w:p>
        </w:tc>
        <w:tc>
          <w:tcPr>
            <w:tcW w:w="8191" w:type="dxa"/>
            <w:tcBorders/>
          </w:tcPr>
          <w:p>
            <w:pPr>
              <w:pStyle w:val="TableContents"/>
              <w:bidi w:val="0"/>
              <w:spacing w:before="0" w:after="283"/>
              <w:jc w:val="left"/>
              <w:rPr/>
            </w:pPr>
            <w:r>
              <w:rPr/>
              <w:t>Form of Note</w:t>
            </w:r>
          </w:p>
        </w:tc>
        <w:tc>
          <w:tcPr>
            <w:tcW w:w="131" w:type="dxa"/>
            <w:tcBorders/>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pPr>
            <w:r>
              <w:rPr/>
              <w:t>A-1</w:t>
            </w:r>
          </w:p>
        </w:tc>
      </w:tr>
      <w:tr>
        <w:trPr/>
        <w:tc>
          <w:tcPr>
            <w:tcW w:w="1381" w:type="dxa"/>
            <w:tcBorders/>
          </w:tcPr>
          <w:p>
            <w:pPr>
              <w:pStyle w:val="TableContents"/>
              <w:bidi w:val="0"/>
              <w:spacing w:before="0" w:after="283"/>
              <w:jc w:val="left"/>
              <w:rPr/>
            </w:pPr>
            <w:r>
              <w:rPr/>
              <w:t>Exhibit B</w:t>
            </w:r>
          </w:p>
        </w:tc>
        <w:tc>
          <w:tcPr>
            <w:tcW w:w="131" w:type="dxa"/>
            <w:tcBorders/>
            <w:vAlign w:val="bottom"/>
          </w:tcPr>
          <w:p>
            <w:pPr>
              <w:pStyle w:val="TableContents"/>
              <w:bidi w:val="0"/>
              <w:spacing w:before="0" w:after="283"/>
              <w:jc w:val="left"/>
              <w:rPr/>
            </w:pPr>
            <w:r>
              <w:rPr/>
              <w:t>  </w:t>
            </w:r>
          </w:p>
        </w:tc>
        <w:tc>
          <w:tcPr>
            <w:tcW w:w="8191" w:type="dxa"/>
            <w:tcBorders/>
          </w:tcPr>
          <w:p>
            <w:pPr>
              <w:pStyle w:val="TableContents"/>
              <w:bidi w:val="0"/>
              <w:spacing w:before="0" w:after="283"/>
              <w:jc w:val="left"/>
              <w:rPr/>
            </w:pPr>
            <w:r>
              <w:rPr/>
              <w:t>Form of Supplemental Indenture</w:t>
            </w:r>
          </w:p>
        </w:tc>
        <w:tc>
          <w:tcPr>
            <w:tcW w:w="131" w:type="dxa"/>
            <w:tcBorders/>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pPr>
            <w:r>
              <w:rPr/>
              <w:t>B-1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INDENTURE dated as of November 6, 2025 between Aeva Technologies, Inc., a Delaware corporation, as issuer (the “</w:t>
      </w:r>
      <w:r>
        <w:rPr>
          <w:rFonts w:ascii="Times New Roman" w:hAnsi="Times New Roman"/>
          <w:b/>
          <w:sz w:val="20"/>
        </w:rPr>
        <w:t>Company</w:t>
      </w:r>
      <w:r>
        <w:rPr>
          <w:rFonts w:ascii="Times New Roman" w:hAnsi="Times New Roman"/>
          <w:sz w:val="20"/>
        </w:rPr>
        <w:t>,” as more fully set forth in Section 1.01), the Guarantors party hereto from time to time and U.S. BANK TRUST COMPANY, NATIONAL ASSOCIATION, a national banking association, as trustee (the “</w:t>
      </w:r>
      <w:r>
        <w:rPr>
          <w:rFonts w:ascii="Times New Roman" w:hAnsi="Times New Roman"/>
          <w:b/>
          <w:sz w:val="20"/>
        </w:rPr>
        <w:t>Trustee</w:t>
      </w:r>
      <w:r>
        <w:rPr>
          <w:rFonts w:ascii="Times New Roman" w:hAnsi="Times New Roman"/>
          <w:sz w:val="20"/>
        </w:rPr>
        <w:t xml:space="preserve">,” as more fully set forth in Section 1.01). </w:t>
      </w:r>
    </w:p>
    <w:p>
      <w:pPr>
        <w:pStyle w:val="TextBody"/>
        <w:bidi w:val="0"/>
        <w:spacing w:before="240" w:after="0"/>
        <w:jc w:val="center"/>
        <w:rPr>
          <w:rFonts w:ascii="Times New Roman" w:hAnsi="Times New Roman"/>
          <w:sz w:val="20"/>
        </w:rPr>
      </w:pPr>
      <w:r>
        <w:rPr>
          <w:rFonts w:ascii="Times New Roman" w:hAnsi="Times New Roman"/>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WHEREAS, for its lawful corporate purposes, the Company has duly authorized the issuance of its 4.375% Convertible Senior Notes due 2032 (the “</w:t>
      </w:r>
      <w:r>
        <w:rPr>
          <w:rFonts w:ascii="Times New Roman" w:hAnsi="Times New Roman"/>
          <w:b/>
          <w:sz w:val="20"/>
        </w:rPr>
        <w:t>Notes</w:t>
      </w:r>
      <w:r>
        <w:rPr>
          <w:rFonts w:ascii="Times New Roman" w:hAnsi="Times New Roman"/>
          <w:sz w:val="20"/>
        </w:rPr>
        <w:t xml:space="preserve">”), initially in an aggregate principal amount not to exceed $100,000,000, and in order to provide the terms and conditions upon which the Notes are to be authenticated, issued and delivered, the Company has duly authorized the execution and delivery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the Notes will be guaranteed on a senior basis by the Guarantors party hereto and each of the Company’s existing and future Material Domestic Subsidiaries to the extent required herein, and each of the Guarantors party hereto has duly authorized the execution and delivery of this Indenture and the issuance of its Note Guarantee;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 </w:t>
      </w:r>
    </w:p>
    <w:p>
      <w:pPr>
        <w:pStyle w:val="TextBody"/>
        <w:bidi w:val="0"/>
        <w:spacing w:before="240" w:after="0"/>
        <w:jc w:val="left"/>
        <w:rPr>
          <w:rFonts w:ascii="Times New Roman" w:hAnsi="Times New Roman"/>
          <w:sz w:val="20"/>
        </w:rPr>
      </w:pPr>
      <w:r>
        <w:rPr>
          <w:rFonts w:ascii="Times New Roman" w:hAnsi="Times New Roman"/>
          <w:sz w:val="20"/>
        </w:rPr>
        <w:t xml:space="preserve">WHEREAS, all acts and things necessary to make the Notes, when executed by the Company and authenticated and delivered by the Trustee or a duly authorized authenticating agent, as in this Indenture provided, the valid, binding and legal obligations of the Company and the Guarantors, and this Indenture a valid agreement according to its terms, have been done and performed, and the execution of this Indenture and the issuance hereunder of the Notes and the Note Guarantees have in all respects been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THIS INDENTURE WITNESSETH: </w:t>
      </w:r>
    </w:p>
    <w:p>
      <w:pPr>
        <w:pStyle w:val="TextBody"/>
        <w:bidi w:val="0"/>
        <w:spacing w:before="240" w:after="0"/>
        <w:jc w:val="left"/>
        <w:rPr>
          <w:rFonts w:ascii="Times New Roman" w:hAnsi="Times New Roman"/>
          <w:sz w:val="20"/>
        </w:rPr>
      </w:pPr>
      <w:r>
        <w:rPr>
          <w:rFonts w:ascii="Times New Roman" w:hAnsi="Times New Roman"/>
          <w:sz w:val="20"/>
        </w:rPr>
        <w:t xml:space="preserve">That in order to declare the terms and conditions upon which the Notes are, and are to be, authenticated, issued and delivered, and in consideration of the premises and of the purchase and acceptance of the Notes by the Holders thereof, the Company and the Guarantors covenant and agree with the Trustee for the equal and proportionate benefit of the respective Holders from time to time of the Notes (except as otherwise provided below), as follows: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1 </w:t>
      </w:r>
    </w:p>
    <w:p>
      <w:pPr>
        <w:pStyle w:val="TextBody"/>
        <w:bidi w:val="0"/>
        <w:spacing w:before="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Section 1.01</w:t>
      </w:r>
      <w:r>
        <w:rPr>
          <w:rFonts w:ascii="Times New Roman" w:hAnsi="Times New Roman"/>
          <w:i/>
          <w:sz w:val="20"/>
        </w:rPr>
        <w:t>. Definitions.</w:t>
      </w:r>
      <w:r>
        <w:rPr>
          <w:rFonts w:ascii="Times New Roman" w:hAnsi="Times New Roman"/>
          <w:sz w:val="20"/>
        </w:rPr>
        <w:t xml:space="preserve">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 </w:t>
      </w:r>
    </w:p>
    <w:p>
      <w:pPr>
        <w:pStyle w:val="TextBody"/>
        <w:bidi w:val="0"/>
        <w:spacing w:before="240" w:after="0"/>
        <w:jc w:val="left"/>
        <w:rPr/>
      </w:pPr>
      <w:r>
        <w:rPr/>
        <w:t>“</w:t>
      </w:r>
      <w:r>
        <w:rPr>
          <w:rFonts w:ascii="Times New Roman" w:hAnsi="Times New Roman"/>
          <w:b/>
          <w:sz w:val="20"/>
        </w:rPr>
        <w:t>1% Exception</w:t>
      </w:r>
      <w:r>
        <w:rPr>
          <w:rFonts w:ascii="Times New Roman" w:hAnsi="Times New Roman"/>
          <w:sz w:val="20"/>
        </w:rPr>
        <w:t xml:space="preserve">” shall have the meaning specified in Section 14.04(k). </w:t>
      </w:r>
    </w:p>
    <w:p>
      <w:pPr>
        <w:pStyle w:val="TextBody"/>
        <w:bidi w:val="0"/>
        <w:spacing w:before="240" w:after="0"/>
        <w:jc w:val="left"/>
        <w:rPr/>
      </w:pPr>
      <w:r>
        <w:rPr/>
        <w:t>“</w:t>
      </w:r>
      <w:r>
        <w:rPr>
          <w:rFonts w:ascii="Times New Roman" w:hAnsi="Times New Roman"/>
          <w:b/>
          <w:sz w:val="20"/>
        </w:rPr>
        <w:t>Additional Interest</w:t>
      </w:r>
      <w:r>
        <w:rPr>
          <w:rFonts w:ascii="Times New Roman" w:hAnsi="Times New Roman"/>
          <w:sz w:val="20"/>
        </w:rPr>
        <w:t xml:space="preserve">” means all amounts, if any, payable pursuant to Section 4.06(d) and Section 6.03, as applicable. </w:t>
      </w:r>
    </w:p>
    <w:p>
      <w:pPr>
        <w:pStyle w:val="TextBody"/>
        <w:bidi w:val="0"/>
        <w:spacing w:before="240" w:after="0"/>
        <w:jc w:val="left"/>
        <w:rPr/>
      </w:pPr>
      <w:r>
        <w:rPr/>
        <w:t>“</w:t>
      </w:r>
      <w:r>
        <w:rPr>
          <w:rFonts w:ascii="Times New Roman" w:hAnsi="Times New Roman"/>
          <w:b/>
          <w:sz w:val="20"/>
        </w:rPr>
        <w:t>Additional Shares</w:t>
      </w:r>
      <w:r>
        <w:rPr>
          <w:rFonts w:ascii="Times New Roman" w:hAnsi="Times New Roman"/>
          <w:sz w:val="20"/>
        </w:rPr>
        <w:t xml:space="preserve">” shall have the meaning specified in Section 14.03(a).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Times New Roman" w:hAnsi="Times New Roman"/>
          <w:b/>
          <w:sz w:val="20"/>
        </w:rPr>
        <w:t>Affiliate</w:t>
      </w:r>
      <w:r>
        <w:rPr>
          <w:rFonts w:ascii="Times New Roman" w:hAnsi="Times New Roman"/>
          <w:sz w:val="20"/>
        </w:rPr>
        <w:t xml:space="preserve">” of another Person for purposes of this Indenture shall be made based on the facts at the time such determination is made or required to be made, as the case may be, hereunder.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of the Company or a committee of such board duly authorized to act for it hereunder. </w:t>
      </w:r>
    </w:p>
    <w:p>
      <w:pPr>
        <w:pStyle w:val="TextBody"/>
        <w:bidi w:val="0"/>
        <w:spacing w:before="240" w:after="0"/>
        <w:jc w:val="left"/>
        <w:rPr/>
      </w:pPr>
      <w:r>
        <w:rPr/>
        <w:t>“</w:t>
      </w:r>
      <w:r>
        <w:rPr>
          <w:rFonts w:ascii="Times New Roman" w:hAnsi="Times New Roman"/>
          <w:b/>
          <w:sz w:val="20"/>
        </w:rPr>
        <w:t>Board Resolution</w:t>
      </w:r>
      <w:r>
        <w:rPr>
          <w:rFonts w:ascii="Times New Roman" w:hAnsi="Times New Roman"/>
          <w:sz w:val="20"/>
        </w:rPr>
        <w:t xml:space="preserve">” means a copy of a resolution certified by the Secretary or an Assistant Secretary of the Company to have been duly adopted by the Board of Directors, and to be in full force and effect on the date of such certification, and delivered to the Trustee. </w:t>
      </w:r>
    </w:p>
    <w:p>
      <w:pPr>
        <w:pStyle w:val="TextBody"/>
        <w:bidi w:val="0"/>
        <w:spacing w:before="240" w:after="0"/>
        <w:jc w:val="left"/>
        <w:rPr/>
      </w:pPr>
      <w:r>
        <w:rPr/>
        <w:t>“</w:t>
      </w:r>
      <w:r>
        <w:rPr>
          <w:rFonts w:ascii="Times New Roman" w:hAnsi="Times New Roman"/>
          <w:b/>
          <w:sz w:val="20"/>
        </w:rPr>
        <w:t>Business Combination Event</w:t>
      </w:r>
      <w:r>
        <w:rPr>
          <w:rFonts w:ascii="Times New Roman" w:hAnsi="Times New Roman"/>
          <w:sz w:val="20"/>
        </w:rPr>
        <w:t xml:space="preserve">” shall have the meaning specified in Section 11.01.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with respect to any Note, any day other than a Saturday, a Sunday or a day on which the Federal Reserve Bank of New York is authorized or required by law or executive order to close or be closed. </w:t>
      </w:r>
    </w:p>
    <w:p>
      <w:pPr>
        <w:pStyle w:val="TextBody"/>
        <w:bidi w:val="0"/>
        <w:spacing w:before="240" w:after="0"/>
        <w:jc w:val="left"/>
        <w:rPr/>
      </w:pPr>
      <w:r>
        <w:rPr/>
        <w:t>“</w:t>
      </w:r>
      <w:r>
        <w:rPr>
          <w:rFonts w:ascii="Times New Roman" w:hAnsi="Times New Roman"/>
          <w:b/>
          <w:sz w:val="20"/>
        </w:rPr>
        <w:t>Called Notes</w:t>
      </w:r>
      <w:r>
        <w:rPr>
          <w:rFonts w:ascii="Times New Roman" w:hAnsi="Times New Roman"/>
          <w:sz w:val="20"/>
        </w:rPr>
        <w:t xml:space="preserve">” means Notes called for Optional Redemption pursuant to Article 16.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Capital Stock</w:t>
      </w:r>
      <w:r>
        <w:rPr>
          <w:rFonts w:ascii="Times New Roman" w:hAnsi="Times New Roman"/>
          <w:sz w:val="20"/>
        </w:rPr>
        <w:t xml:space="preserve">” means, for any entity, any and all shares, interests, rights to purchase, warrants, options, participations or other equivalents of or interests in (however designated) stock issued by that entity, but shall not include any debt securities convertible into or exchangeable for any securities otherwise constituting Capital Stock pursuant to this definition. </w:t>
      </w:r>
    </w:p>
    <w:p>
      <w:pPr>
        <w:pStyle w:val="TextBody"/>
        <w:bidi w:val="0"/>
        <w:spacing w:before="120" w:after="0"/>
        <w:jc w:val="left"/>
        <w:rPr/>
      </w:pPr>
      <w:r>
        <w:rPr/>
        <w:t>“</w:t>
      </w:r>
      <w:r>
        <w:rPr>
          <w:rFonts w:ascii="Times New Roman" w:hAnsi="Times New Roman"/>
          <w:b/>
          <w:sz w:val="20"/>
        </w:rPr>
        <w:t>Cash</w:t>
      </w:r>
      <w:r>
        <w:rPr>
          <w:rFonts w:ascii="Times New Roman" w:hAnsi="Times New Roman"/>
          <w:sz w:val="20"/>
        </w:rPr>
        <w:t xml:space="preserve">” means money, currency or a credit balance in a deposit account. </w:t>
      </w:r>
    </w:p>
    <w:p>
      <w:pPr>
        <w:pStyle w:val="TextBody"/>
        <w:bidi w:val="0"/>
        <w:spacing w:before="240" w:after="0"/>
        <w:jc w:val="left"/>
        <w:rPr/>
      </w:pPr>
      <w:r>
        <w:rPr/>
        <w:t>“</w:t>
      </w:r>
      <w:r>
        <w:rPr>
          <w:rFonts w:ascii="Times New Roman" w:hAnsi="Times New Roman"/>
          <w:b/>
          <w:sz w:val="20"/>
        </w:rPr>
        <w:t>Cash Interest</w:t>
      </w:r>
      <w:r>
        <w:rPr>
          <w:rFonts w:ascii="Times New Roman" w:hAnsi="Times New Roman"/>
          <w:sz w:val="20"/>
        </w:rPr>
        <w:t xml:space="preserve">” shall have the meaning specified in Section 2.03(d). </w:t>
      </w:r>
    </w:p>
    <w:p>
      <w:pPr>
        <w:pStyle w:val="TextBody"/>
        <w:bidi w:val="0"/>
        <w:spacing w:before="240" w:after="0"/>
        <w:jc w:val="left"/>
        <w:rPr/>
      </w:pPr>
      <w:r>
        <w:rPr/>
        <w:t>“</w:t>
      </w:r>
      <w:r>
        <w:rPr>
          <w:rFonts w:ascii="Times New Roman" w:hAnsi="Times New Roman"/>
          <w:b/>
          <w:sz w:val="20"/>
        </w:rPr>
        <w:t>Cash Settlement</w:t>
      </w:r>
      <w:r>
        <w:rPr>
          <w:rFonts w:ascii="Times New Roman" w:hAnsi="Times New Roman"/>
          <w:sz w:val="20"/>
        </w:rPr>
        <w:t xml:space="preserve">” shall have the meaning specified in Section 14.02(a). </w:t>
      </w:r>
    </w:p>
    <w:p>
      <w:pPr>
        <w:pStyle w:val="TextBody"/>
        <w:bidi w:val="0"/>
        <w:spacing w:before="240" w:after="0"/>
        <w:jc w:val="left"/>
        <w:rPr/>
      </w:pPr>
      <w:r>
        <w:rPr/>
        <w:t>“</w:t>
      </w:r>
      <w:r>
        <w:rPr>
          <w:rFonts w:ascii="Times New Roman" w:hAnsi="Times New Roman"/>
          <w:b/>
          <w:sz w:val="20"/>
        </w:rPr>
        <w:t>Clause A Distribution</w:t>
      </w:r>
      <w:r>
        <w:rPr>
          <w:rFonts w:ascii="Times New Roman" w:hAnsi="Times New Roman"/>
          <w:sz w:val="20"/>
        </w:rPr>
        <w:t xml:space="preserve">” shall have the meaning specified in Section 14.04(c). </w:t>
      </w:r>
    </w:p>
    <w:p>
      <w:pPr>
        <w:pStyle w:val="TextBody"/>
        <w:bidi w:val="0"/>
        <w:spacing w:before="240" w:after="0"/>
        <w:jc w:val="left"/>
        <w:rPr/>
      </w:pPr>
      <w:r>
        <w:rPr/>
        <w:t>“</w:t>
      </w:r>
      <w:r>
        <w:rPr>
          <w:rFonts w:ascii="Times New Roman" w:hAnsi="Times New Roman"/>
          <w:b/>
          <w:sz w:val="20"/>
        </w:rPr>
        <w:t>Clause B Distribution</w:t>
      </w:r>
      <w:r>
        <w:rPr>
          <w:rFonts w:ascii="Times New Roman" w:hAnsi="Times New Roman"/>
          <w:sz w:val="20"/>
        </w:rPr>
        <w:t xml:space="preserve">” shall have the meaning specified in Section 14.04(c). </w:t>
      </w:r>
    </w:p>
    <w:p>
      <w:pPr>
        <w:pStyle w:val="TextBody"/>
        <w:bidi w:val="0"/>
        <w:spacing w:before="240" w:after="0"/>
        <w:jc w:val="left"/>
        <w:rPr/>
      </w:pPr>
      <w:r>
        <w:rPr/>
        <w:t>“</w:t>
      </w:r>
      <w:r>
        <w:rPr>
          <w:rFonts w:ascii="Times New Roman" w:hAnsi="Times New Roman"/>
          <w:b/>
          <w:sz w:val="20"/>
        </w:rPr>
        <w:t>Clause C Distribution</w:t>
      </w:r>
      <w:r>
        <w:rPr>
          <w:rFonts w:ascii="Times New Roman" w:hAnsi="Times New Roman"/>
          <w:sz w:val="20"/>
        </w:rPr>
        <w:t xml:space="preserve">” shall have the meaning specified in Section 14.04(c). </w:t>
      </w:r>
    </w:p>
    <w:p>
      <w:pPr>
        <w:pStyle w:val="TextBody"/>
        <w:bidi w:val="0"/>
        <w:spacing w:before="240" w:after="0"/>
        <w:jc w:val="left"/>
        <w:rPr/>
      </w:pPr>
      <w:r>
        <w:rPr/>
        <w:t>“</w:t>
      </w:r>
      <w:r>
        <w:rPr>
          <w:rFonts w:ascii="Times New Roman" w:hAnsi="Times New Roman"/>
          <w:b/>
          <w:sz w:val="20"/>
        </w:rPr>
        <w:t>close of business</w:t>
      </w:r>
      <w:r>
        <w:rPr>
          <w:rFonts w:ascii="Times New Roman" w:hAnsi="Times New Roman"/>
          <w:sz w:val="20"/>
        </w:rPr>
        <w:t xml:space="preserve">” means 5:00 p.m. (New York City time).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U.S. Internal Revenue Code of 1986, as amended. </w:t>
      </w:r>
    </w:p>
    <w:p>
      <w:pPr>
        <w:pStyle w:val="TextBody"/>
        <w:bidi w:val="0"/>
        <w:spacing w:before="240" w:after="0"/>
        <w:jc w:val="left"/>
        <w:rPr/>
      </w:pPr>
      <w:r>
        <w:rPr/>
        <w:t>“</w:t>
      </w:r>
      <w:r>
        <w:rPr>
          <w:rFonts w:ascii="Times New Roman" w:hAnsi="Times New Roman"/>
          <w:b/>
          <w:sz w:val="20"/>
        </w:rPr>
        <w:t>Combination Settlement</w:t>
      </w:r>
      <w:r>
        <w:rPr>
          <w:rFonts w:ascii="Times New Roman" w:hAnsi="Times New Roman"/>
          <w:sz w:val="20"/>
        </w:rPr>
        <w:t xml:space="preserve">” shall have the meaning specified in Section 14.02(a).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Common Equity</w:t>
      </w:r>
      <w:r>
        <w:rPr>
          <w:rFonts w:ascii="Times New Roman" w:hAnsi="Times New Roman"/>
          <w:sz w:val="20"/>
        </w:rPr>
        <w:t xml:space="preserve">”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means the common stock of the Company, par value $.0001 per share, at the date of this Indenture, subject to Section 14.07.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shall have the meaning specified in the first paragraph of this Indenture, and subject to the provisions of Article 11, shall include its successors and assigns. </w:t>
      </w:r>
    </w:p>
    <w:p>
      <w:pPr>
        <w:pStyle w:val="TextBody"/>
        <w:bidi w:val="0"/>
        <w:spacing w:before="240" w:after="0"/>
        <w:jc w:val="left"/>
        <w:rPr/>
      </w:pPr>
      <w:r>
        <w:rPr/>
        <w:t>“</w:t>
      </w:r>
      <w:r>
        <w:rPr>
          <w:rFonts w:ascii="Times New Roman" w:hAnsi="Times New Roman"/>
          <w:b/>
          <w:sz w:val="20"/>
        </w:rPr>
        <w:t>Company Order</w:t>
      </w:r>
      <w:r>
        <w:rPr>
          <w:rFonts w:ascii="Times New Roman" w:hAnsi="Times New Roman"/>
          <w:sz w:val="20"/>
        </w:rPr>
        <w:t xml:space="preserve">” means a written order of the Company signed by any of its Officers and delivered to the Trustee. </w:t>
      </w:r>
    </w:p>
    <w:p>
      <w:pPr>
        <w:pStyle w:val="TextBody"/>
        <w:bidi w:val="0"/>
        <w:spacing w:before="240" w:after="0"/>
        <w:jc w:val="left"/>
        <w:rPr/>
      </w:pPr>
      <w:r>
        <w:rPr/>
        <w:t>“</w:t>
      </w:r>
      <w:r>
        <w:rPr>
          <w:rFonts w:ascii="Times New Roman" w:hAnsi="Times New Roman"/>
          <w:b/>
          <w:sz w:val="20"/>
        </w:rPr>
        <w:t>Conversion Agent</w:t>
      </w:r>
      <w:r>
        <w:rPr>
          <w:rFonts w:ascii="Times New Roman" w:hAnsi="Times New Roman"/>
          <w:sz w:val="20"/>
        </w:rPr>
        <w:t xml:space="preserve">” shall have the meaning specified in Section 4.02. </w:t>
      </w:r>
    </w:p>
    <w:p>
      <w:pPr>
        <w:pStyle w:val="TextBody"/>
        <w:bidi w:val="0"/>
        <w:spacing w:before="240" w:after="0"/>
        <w:jc w:val="left"/>
        <w:rPr/>
      </w:pPr>
      <w:r>
        <w:rPr/>
        <w:t>“</w:t>
      </w:r>
      <w:r>
        <w:rPr>
          <w:rFonts w:ascii="Times New Roman" w:hAnsi="Times New Roman"/>
          <w:b/>
          <w:sz w:val="20"/>
        </w:rPr>
        <w:t>Conversion Consideration</w:t>
      </w:r>
      <w:r>
        <w:rPr>
          <w:rFonts w:ascii="Times New Roman" w:hAnsi="Times New Roman"/>
          <w:sz w:val="20"/>
        </w:rPr>
        <w:t xml:space="preserve">” shall have the meaning specified in Section 14.12(a). </w:t>
      </w:r>
    </w:p>
    <w:p>
      <w:pPr>
        <w:pStyle w:val="TextBody"/>
        <w:bidi w:val="0"/>
        <w:spacing w:before="240" w:after="0"/>
        <w:jc w:val="left"/>
        <w:rPr/>
      </w:pPr>
      <w:r>
        <w:rPr/>
        <w:t>“</w:t>
      </w:r>
      <w:r>
        <w:rPr>
          <w:rFonts w:ascii="Times New Roman" w:hAnsi="Times New Roman"/>
          <w:b/>
          <w:sz w:val="20"/>
        </w:rPr>
        <w:t>Conversion Date</w:t>
      </w:r>
      <w:r>
        <w:rPr>
          <w:rFonts w:ascii="Times New Roman" w:hAnsi="Times New Roman"/>
          <w:sz w:val="20"/>
        </w:rPr>
        <w:t xml:space="preserve">” shall have the meaning specified in Section 14.02(c).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Conversion Obligation</w:t>
      </w:r>
      <w:r>
        <w:rPr>
          <w:rFonts w:ascii="Times New Roman" w:hAnsi="Times New Roman"/>
          <w:sz w:val="20"/>
        </w:rPr>
        <w:t xml:space="preserve">” shall have the meaning specified in Section 14.01(a). </w:t>
      </w:r>
    </w:p>
    <w:p>
      <w:pPr>
        <w:pStyle w:val="TextBody"/>
        <w:bidi w:val="0"/>
        <w:spacing w:before="240" w:after="0"/>
        <w:jc w:val="left"/>
        <w:rPr/>
      </w:pPr>
      <w:r>
        <w:rPr/>
        <w:t>“</w:t>
      </w:r>
      <w:r>
        <w:rPr>
          <w:rFonts w:ascii="Times New Roman" w:hAnsi="Times New Roman"/>
          <w:b/>
          <w:sz w:val="20"/>
        </w:rPr>
        <w:t>Conversion Price</w:t>
      </w:r>
      <w:r>
        <w:rPr>
          <w:rFonts w:ascii="Times New Roman" w:hAnsi="Times New Roman"/>
          <w:sz w:val="20"/>
        </w:rPr>
        <w:t xml:space="preserve">” means as of any time, $1,000, </w:t>
      </w:r>
      <w:r>
        <w:rPr>
          <w:rFonts w:ascii="Times New Roman" w:hAnsi="Times New Roman"/>
          <w:i/>
          <w:sz w:val="20"/>
        </w:rPr>
        <w:t>divided by</w:t>
      </w:r>
      <w:r>
        <w:rPr>
          <w:rFonts w:ascii="Times New Roman" w:hAnsi="Times New Roman"/>
          <w:sz w:val="20"/>
        </w:rPr>
        <w:t xml:space="preserve"> the Conversion Rate as of such time. </w:t>
      </w:r>
    </w:p>
    <w:p>
      <w:pPr>
        <w:pStyle w:val="TextBody"/>
        <w:bidi w:val="0"/>
        <w:spacing w:before="240" w:after="0"/>
        <w:jc w:val="left"/>
        <w:rPr/>
      </w:pPr>
      <w:r>
        <w:rPr/>
        <w:t>“</w:t>
      </w:r>
      <w:r>
        <w:rPr>
          <w:rFonts w:ascii="Times New Roman" w:hAnsi="Times New Roman"/>
          <w:b/>
          <w:sz w:val="20"/>
        </w:rPr>
        <w:t>Conversion Rate</w:t>
      </w:r>
      <w:r>
        <w:rPr>
          <w:rFonts w:ascii="Times New Roman" w:hAnsi="Times New Roman"/>
          <w:sz w:val="20"/>
        </w:rPr>
        <w:t xml:space="preserve">” shall have the meaning specified in Section 14.01(a). </w:t>
      </w:r>
    </w:p>
    <w:p>
      <w:pPr>
        <w:pStyle w:val="TextBody"/>
        <w:bidi w:val="0"/>
        <w:spacing w:before="240" w:after="0"/>
        <w:jc w:val="left"/>
        <w:rPr/>
      </w:pPr>
      <w:r>
        <w:rPr/>
        <w:t>“</w:t>
      </w:r>
      <w:r>
        <w:rPr>
          <w:rFonts w:ascii="Times New Roman" w:hAnsi="Times New Roman"/>
          <w:b/>
          <w:sz w:val="20"/>
        </w:rPr>
        <w:t>Corporate Trust Office</w:t>
      </w:r>
      <w:r>
        <w:rPr>
          <w:rFonts w:ascii="Times New Roman" w:hAnsi="Times New Roman"/>
          <w:sz w:val="20"/>
        </w:rPr>
        <w:t xml:space="preserve">” means the designated office of the Trustee at which at any time this Indenture shall be administered, which office at the date hereof is located at U.S. Bank Trust Company, National Association, West Side Flats, St. Paul, 60 Livingston Ave, Saint Paul, MN 55107, Attention: AEVA Technologies, Inc. Administrator, or such other address in the continental United States as the Trustee may designate from time to time by notice to the Holders and the Company, or the designated corporate trust office of any successor trustee (or such other address as such successor trustee may designate from time to time by notice to the Holders and the Company). </w:t>
      </w:r>
    </w:p>
    <w:p>
      <w:pPr>
        <w:pStyle w:val="TextBody"/>
        <w:bidi w:val="0"/>
        <w:spacing w:before="240" w:after="0"/>
        <w:jc w:val="left"/>
        <w:rPr/>
      </w:pPr>
      <w:r>
        <w:rPr/>
        <w:t>“</w:t>
      </w:r>
      <w:r>
        <w:rPr>
          <w:rFonts w:ascii="Times New Roman" w:hAnsi="Times New Roman"/>
          <w:b/>
          <w:sz w:val="20"/>
        </w:rPr>
        <w:t>Custodian</w:t>
      </w:r>
      <w:r>
        <w:rPr>
          <w:rFonts w:ascii="Times New Roman" w:hAnsi="Times New Roman"/>
          <w:sz w:val="20"/>
        </w:rPr>
        <w:t xml:space="preserve">” means the Trustee, as custodian for The Depository Trust Company, with respect to the Global Notes, or any successor entity thereto. </w:t>
      </w:r>
    </w:p>
    <w:p>
      <w:pPr>
        <w:pStyle w:val="TextBody"/>
        <w:bidi w:val="0"/>
        <w:spacing w:before="240" w:after="0"/>
        <w:jc w:val="left"/>
        <w:rPr/>
      </w:pPr>
      <w:r>
        <w:rPr/>
        <w:t>“</w:t>
      </w:r>
      <w:r>
        <w:rPr>
          <w:rFonts w:ascii="Times New Roman" w:hAnsi="Times New Roman"/>
          <w:b/>
          <w:sz w:val="20"/>
        </w:rPr>
        <w:t>Daily Conversion Value</w:t>
      </w:r>
      <w:r>
        <w:rPr>
          <w:rFonts w:ascii="Times New Roman" w:hAnsi="Times New Roman"/>
          <w:sz w:val="20"/>
        </w:rPr>
        <w:t xml:space="preserve">” means, for each of the 40 consecutive Trading Days during the relevant Observation Period, one-fortieth (1/40th) of the product of (a) the Conversion Rate on such Trading Day and (b) the Daily VWAP for such Trading Day. </w:t>
      </w:r>
    </w:p>
    <w:p>
      <w:pPr>
        <w:pStyle w:val="TextBody"/>
        <w:bidi w:val="0"/>
        <w:spacing w:before="240" w:after="0"/>
        <w:jc w:val="left"/>
        <w:rPr/>
      </w:pPr>
      <w:r>
        <w:rPr/>
        <w:t>“</w:t>
      </w:r>
      <w:r>
        <w:rPr>
          <w:rFonts w:ascii="Times New Roman" w:hAnsi="Times New Roman"/>
          <w:b/>
          <w:sz w:val="20"/>
        </w:rPr>
        <w:t>Daily Measurement Value</w:t>
      </w:r>
      <w:r>
        <w:rPr>
          <w:rFonts w:ascii="Times New Roman" w:hAnsi="Times New Roman"/>
          <w:sz w:val="20"/>
        </w:rPr>
        <w:t xml:space="preserve">” means the Specified Dollar Amount (if any), </w:t>
      </w:r>
      <w:r>
        <w:rPr>
          <w:rFonts w:ascii="Times New Roman" w:hAnsi="Times New Roman"/>
          <w:i/>
          <w:sz w:val="20"/>
        </w:rPr>
        <w:t>divided by</w:t>
      </w:r>
      <w:r>
        <w:rPr>
          <w:rFonts w:ascii="Times New Roman" w:hAnsi="Times New Roman"/>
          <w:sz w:val="20"/>
        </w:rPr>
        <w:t xml:space="preserve"> 40. </w:t>
      </w:r>
    </w:p>
    <w:p>
      <w:pPr>
        <w:pStyle w:val="TextBody"/>
        <w:bidi w:val="0"/>
        <w:spacing w:before="240" w:after="0"/>
        <w:jc w:val="left"/>
        <w:rPr/>
      </w:pPr>
      <w:r>
        <w:rPr/>
        <w:t>“</w:t>
      </w:r>
      <w:r>
        <w:rPr>
          <w:rFonts w:ascii="Times New Roman" w:hAnsi="Times New Roman"/>
          <w:b/>
          <w:sz w:val="20"/>
        </w:rPr>
        <w:t>Daily Settlement Amount</w:t>
      </w:r>
      <w:r>
        <w:rPr>
          <w:rFonts w:ascii="Times New Roman" w:hAnsi="Times New Roman"/>
          <w:sz w:val="20"/>
        </w:rPr>
        <w:t xml:space="preserve">,” for each of the 40 consecutive Trading Days during the relevant Observation Period, shall consist of: </w:t>
      </w:r>
    </w:p>
    <w:p>
      <w:pPr>
        <w:pStyle w:val="TextBody"/>
        <w:bidi w:val="0"/>
        <w:spacing w:before="120" w:after="0"/>
        <w:jc w:val="left"/>
        <w:rPr>
          <w:rFonts w:ascii="Times New Roman" w:hAnsi="Times New Roman"/>
          <w:sz w:val="20"/>
        </w:rPr>
      </w:pPr>
      <w:r>
        <w:rPr>
          <w:rFonts w:ascii="Times New Roman" w:hAnsi="Times New Roman"/>
          <w:sz w:val="20"/>
        </w:rPr>
        <w:t xml:space="preserve">(a) cash in an amount equal to the lesser of (i) the Daily Measurement Value and (ii) the Daily Conversion Value on such Trading Day; and </w:t>
      </w:r>
    </w:p>
    <w:p>
      <w:pPr>
        <w:pStyle w:val="TextBody"/>
        <w:bidi w:val="0"/>
        <w:spacing w:before="120" w:after="0"/>
        <w:jc w:val="left"/>
        <w:rPr>
          <w:rFonts w:ascii="Times New Roman" w:hAnsi="Times New Roman"/>
          <w:sz w:val="20"/>
        </w:rPr>
      </w:pPr>
      <w:r>
        <w:rPr>
          <w:rFonts w:ascii="Times New Roman" w:hAnsi="Times New Roman"/>
          <w:sz w:val="20"/>
        </w:rPr>
        <w:t xml:space="preserve">(b) if the Daily Conversion Value on such Trading Day exceeds the Daily Measurement Value, a number of shares of Common Stock equal to (i) the difference between the Daily Conversion Value on such Trading Day and the Daily Measurement Value, </w:t>
      </w:r>
      <w:r>
        <w:rPr>
          <w:rFonts w:ascii="Times New Roman" w:hAnsi="Times New Roman"/>
          <w:i/>
          <w:sz w:val="20"/>
        </w:rPr>
        <w:t>divided by</w:t>
      </w:r>
      <w:r>
        <w:rPr>
          <w:rFonts w:ascii="Times New Roman" w:hAnsi="Times New Roman"/>
          <w:sz w:val="20"/>
        </w:rPr>
        <w:t xml:space="preserve"> (ii) the Daily VWAP for such Trading Day. </w:t>
      </w:r>
    </w:p>
    <w:p>
      <w:pPr>
        <w:pStyle w:val="TextBody"/>
        <w:bidi w:val="0"/>
        <w:spacing w:before="240" w:after="0"/>
        <w:jc w:val="left"/>
        <w:rPr/>
      </w:pPr>
      <w:r>
        <w:rPr/>
        <w:t>“</w:t>
      </w:r>
      <w:r>
        <w:rPr>
          <w:rFonts w:ascii="Times New Roman" w:hAnsi="Times New Roman"/>
          <w:b/>
          <w:sz w:val="20"/>
        </w:rPr>
        <w:t>Daily VWAP</w:t>
      </w:r>
      <w:r>
        <w:rPr>
          <w:rFonts w:ascii="Times New Roman" w:hAnsi="Times New Roman"/>
          <w:sz w:val="20"/>
        </w:rPr>
        <w:t>” means, for each of the 40 consecutive Trading Days during the relevant Observation Period, the per share volume-weighted average price as displayed under the heading “Bloomberg VWAP” on Bloomberg page “AEVA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investment banking firm retained for this purpose by the Company). The “</w:t>
      </w:r>
      <w:r>
        <w:rPr>
          <w:rFonts w:ascii="Times New Roman" w:hAnsi="Times New Roman"/>
          <w:b/>
          <w:sz w:val="20"/>
        </w:rPr>
        <w:t>Daily VWAP</w:t>
      </w:r>
      <w:r>
        <w:rPr>
          <w:rFonts w:ascii="Times New Roman" w:hAnsi="Times New Roman"/>
          <w:sz w:val="20"/>
        </w:rPr>
        <w:t xml:space="preserve">” shall be determined without regard to after-hours trading or any other trading outside of the regular trading session trading hours.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Default</w:t>
      </w:r>
      <w:r>
        <w:rPr>
          <w:rFonts w:ascii="Times New Roman" w:hAnsi="Times New Roman"/>
          <w:sz w:val="20"/>
        </w:rPr>
        <w:t xml:space="preserve">” means any event that is (or after notice or passage of time, or both, would be) an Event of Default. </w:t>
      </w:r>
    </w:p>
    <w:p>
      <w:pPr>
        <w:pStyle w:val="TextBody"/>
        <w:bidi w:val="0"/>
        <w:spacing w:before="240" w:after="0"/>
        <w:jc w:val="left"/>
        <w:rPr/>
      </w:pPr>
      <w:r>
        <w:rPr/>
        <w:t>“</w:t>
      </w:r>
      <w:r>
        <w:rPr>
          <w:rFonts w:ascii="Times New Roman" w:hAnsi="Times New Roman"/>
          <w:b/>
          <w:sz w:val="20"/>
        </w:rPr>
        <w:t>Default Settlement Method</w:t>
      </w:r>
      <w:r>
        <w:rPr>
          <w:rFonts w:ascii="Times New Roman" w:hAnsi="Times New Roman"/>
          <w:sz w:val="20"/>
        </w:rPr>
        <w:t xml:space="preserve">” means, initially, Combination Settlement with a Specified Dollar Amount per $1,000 principal amount of Notes of $1,000. </w:t>
      </w:r>
    </w:p>
    <w:p>
      <w:pPr>
        <w:pStyle w:val="TextBody"/>
        <w:bidi w:val="0"/>
        <w:spacing w:before="240" w:after="0"/>
        <w:jc w:val="left"/>
        <w:rPr/>
      </w:pPr>
      <w:r>
        <w:rPr/>
        <w:t>“</w:t>
      </w:r>
      <w:r>
        <w:rPr>
          <w:rFonts w:ascii="Times New Roman" w:hAnsi="Times New Roman"/>
          <w:b/>
          <w:sz w:val="20"/>
        </w:rPr>
        <w:t>Defaulted Amounts</w:t>
      </w:r>
      <w:r>
        <w:rPr>
          <w:rFonts w:ascii="Times New Roman" w:hAnsi="Times New Roman"/>
          <w:sz w:val="20"/>
        </w:rPr>
        <w:t xml:space="preserve">” means any amounts on any Note (including, without limitation, the Redemption Price, the Fundamental Change Repurchase Price, principal and interest) that are payable but are not punctually paid or duly provided for. </w:t>
      </w:r>
    </w:p>
    <w:p>
      <w:pPr>
        <w:pStyle w:val="TextBody"/>
        <w:bidi w:val="0"/>
        <w:spacing w:before="240" w:after="0"/>
        <w:jc w:val="left"/>
        <w:rPr/>
      </w:pPr>
      <w:r>
        <w:rPr/>
        <w:t>“</w:t>
      </w:r>
      <w:r>
        <w:rPr>
          <w:rFonts w:ascii="Times New Roman" w:hAnsi="Times New Roman"/>
          <w:b/>
          <w:sz w:val="20"/>
        </w:rPr>
        <w:t>Depositary</w:t>
      </w:r>
      <w:r>
        <w:rPr>
          <w:rFonts w:ascii="Times New Roman" w:hAnsi="Times New Roman"/>
          <w:sz w:val="20"/>
        </w:rPr>
        <w:t>” means, with respect to each Global Note, the Person specified in Section 2.05(c) as the Depositary with respect to such Notes, until a successor shall have been appointed and become such pursuant to the applicable provisions of this Indenture, and thereafter, “</w:t>
      </w:r>
      <w:r>
        <w:rPr>
          <w:rFonts w:ascii="Times New Roman" w:hAnsi="Times New Roman"/>
          <w:b/>
          <w:sz w:val="20"/>
        </w:rPr>
        <w:t>Depositary</w:t>
      </w:r>
      <w:r>
        <w:rPr>
          <w:rFonts w:ascii="Times New Roman" w:hAnsi="Times New Roman"/>
          <w:sz w:val="20"/>
        </w:rPr>
        <w:t xml:space="preserve">” shall mean or include such successor. </w:t>
      </w:r>
    </w:p>
    <w:p>
      <w:pPr>
        <w:pStyle w:val="TextBody"/>
        <w:bidi w:val="0"/>
        <w:spacing w:before="240" w:after="0"/>
        <w:jc w:val="left"/>
        <w:rPr/>
      </w:pPr>
      <w:r>
        <w:rPr/>
        <w:t>“</w:t>
      </w:r>
      <w:r>
        <w:rPr>
          <w:rFonts w:ascii="Times New Roman" w:hAnsi="Times New Roman"/>
          <w:b/>
          <w:sz w:val="20"/>
        </w:rPr>
        <w:t>Designated Financial Institution</w:t>
      </w:r>
      <w:r>
        <w:rPr>
          <w:rFonts w:ascii="Times New Roman" w:hAnsi="Times New Roman"/>
          <w:sz w:val="20"/>
        </w:rPr>
        <w:t xml:space="preserve">” shall have the meaning specified in Section 14.12(a). </w:t>
      </w:r>
    </w:p>
    <w:p>
      <w:pPr>
        <w:pStyle w:val="TextBody"/>
        <w:bidi w:val="0"/>
        <w:spacing w:before="240" w:after="0"/>
        <w:jc w:val="left"/>
        <w:rPr/>
      </w:pPr>
      <w:r>
        <w:rPr/>
        <w:t>“</w:t>
      </w:r>
      <w:r>
        <w:rPr>
          <w:rFonts w:ascii="Times New Roman" w:hAnsi="Times New Roman"/>
          <w:b/>
          <w:sz w:val="20"/>
        </w:rPr>
        <w:t>Distributed Property</w:t>
      </w:r>
      <w:r>
        <w:rPr>
          <w:rFonts w:ascii="Times New Roman" w:hAnsi="Times New Roman"/>
          <w:sz w:val="20"/>
        </w:rPr>
        <w:t xml:space="preserve">” shall have the meaning specified in Section 14.04(c). </w:t>
      </w:r>
    </w:p>
    <w:p>
      <w:pPr>
        <w:pStyle w:val="TextBody"/>
        <w:bidi w:val="0"/>
        <w:spacing w:before="240" w:after="0"/>
        <w:jc w:val="left"/>
        <w:rPr/>
      </w:pPr>
      <w:r>
        <w:rPr/>
        <w:t>“</w:t>
      </w:r>
      <w:r>
        <w:rPr>
          <w:rFonts w:ascii="Times New Roman" w:hAnsi="Times New Roman"/>
          <w:b/>
          <w:sz w:val="20"/>
        </w:rPr>
        <w:t>Domestic Subsidiary”</w:t>
      </w:r>
      <w:r>
        <w:rPr>
          <w:rFonts w:ascii="Times New Roman" w:hAnsi="Times New Roman"/>
          <w:sz w:val="20"/>
        </w:rPr>
        <w:t xml:space="preserve"> means any Subsidiary of the Company that was formed under the laws of the United States or any state or commonwealth of the United States or under the laws of the District of Columbia. </w:t>
      </w:r>
    </w:p>
    <w:p>
      <w:pPr>
        <w:pStyle w:val="TextBody"/>
        <w:bidi w:val="0"/>
        <w:spacing w:before="240" w:after="0"/>
        <w:jc w:val="left"/>
        <w:rPr/>
      </w:pPr>
      <w:r>
        <w:rPr/>
        <w:t>“</w:t>
      </w:r>
      <w:r>
        <w:rPr>
          <w:rFonts w:ascii="Times New Roman" w:hAnsi="Times New Roman"/>
          <w:b/>
          <w:sz w:val="20"/>
        </w:rPr>
        <w:t>Effective Date</w:t>
      </w:r>
      <w:r>
        <w:rPr>
          <w:rFonts w:ascii="Times New Roman" w:hAnsi="Times New Roman"/>
          <w:sz w:val="20"/>
        </w:rPr>
        <w:t>” shall have the meaning specified in Section 14.03(c), except that, as used in Section 14.04 and Section 14.05, “</w:t>
      </w:r>
      <w:r>
        <w:rPr>
          <w:rFonts w:ascii="Times New Roman" w:hAnsi="Times New Roman"/>
          <w:b/>
          <w:sz w:val="20"/>
        </w:rPr>
        <w:t>Effective Date</w:t>
      </w:r>
      <w:r>
        <w:rPr>
          <w:rFonts w:ascii="Times New Roman" w:hAnsi="Times New Roman"/>
          <w:sz w:val="20"/>
        </w:rPr>
        <w:t xml:space="preserve">” means the first date on which shares of the Common Stock trade on the applicable exchange or in the applicable market, regular way, reflecting the relevant share split or share combination, as applicable. For the avoidance of doubt, any alternative trading convention on the applicable exchange or market in respect of shares of the Common Stock under a separate ticker symbol or CUSIP number will not be considered “regular way” for this purpose. </w:t>
      </w:r>
    </w:p>
    <w:p>
      <w:pPr>
        <w:pStyle w:val="TextBody"/>
        <w:bidi w:val="0"/>
        <w:spacing w:before="240" w:after="0"/>
        <w:jc w:val="left"/>
        <w:rPr/>
      </w:pPr>
      <w:r>
        <w:rPr/>
        <w:t>“</w:t>
      </w:r>
      <w:r>
        <w:rPr>
          <w:rFonts w:ascii="Times New Roman" w:hAnsi="Times New Roman"/>
          <w:b/>
          <w:sz w:val="20"/>
        </w:rPr>
        <w:t>Event of Default</w:t>
      </w:r>
      <w:r>
        <w:rPr>
          <w:rFonts w:ascii="Times New Roman" w:hAnsi="Times New Roman"/>
          <w:sz w:val="20"/>
        </w:rPr>
        <w:t xml:space="preserve">” shall have the meaning specified in Section 6.01. </w:t>
      </w:r>
    </w:p>
    <w:p>
      <w:pPr>
        <w:pStyle w:val="TextBody"/>
        <w:bidi w:val="0"/>
        <w:spacing w:before="240" w:after="0"/>
        <w:jc w:val="left"/>
        <w:rPr/>
      </w:pPr>
      <w:r>
        <w:rPr/>
        <w:t>“</w:t>
      </w:r>
      <w:r>
        <w:rPr>
          <w:rFonts w:ascii="Times New Roman" w:hAnsi="Times New Roman"/>
          <w:b/>
          <w:sz w:val="20"/>
        </w:rPr>
        <w:t>Ex-Dividend Date</w:t>
      </w:r>
      <w:r>
        <w:rPr>
          <w:rFonts w:ascii="Times New Roman" w:hAnsi="Times New Roman"/>
          <w:sz w:val="20"/>
        </w:rPr>
        <w:t xml:space="preserve">” 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 For the avoidance of doubt, any alternative trading convention on the applicable exchange or market in respect of shares of the Common Stock under a separate ticker symbol or CUSIP number will not be considered “regular way” for this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pPr>
      <w:r>
        <w:rPr/>
        <w:t>“</w:t>
      </w:r>
      <w:r>
        <w:rPr>
          <w:rFonts w:ascii="Times New Roman" w:hAnsi="Times New Roman"/>
          <w:b/>
          <w:sz w:val="20"/>
        </w:rPr>
        <w:t>Exchange Election</w:t>
      </w:r>
      <w:r>
        <w:rPr>
          <w:rFonts w:ascii="Times New Roman" w:hAnsi="Times New Roman"/>
          <w:sz w:val="20"/>
        </w:rPr>
        <w:t xml:space="preserve">” shall have the meaning specified in Section 14.12(a). </w:t>
      </w:r>
    </w:p>
    <w:p>
      <w:pPr>
        <w:pStyle w:val="TextBody"/>
        <w:bidi w:val="0"/>
        <w:spacing w:before="240" w:after="0"/>
        <w:jc w:val="left"/>
        <w:rPr/>
      </w:pPr>
      <w:r>
        <w:rPr/>
        <w:t>“</w:t>
      </w:r>
      <w:r>
        <w:rPr>
          <w:rFonts w:ascii="Times New Roman" w:hAnsi="Times New Roman"/>
          <w:b/>
          <w:sz w:val="20"/>
        </w:rPr>
        <w:t>Exempted Fundamental Change</w:t>
      </w:r>
      <w:r>
        <w:rPr>
          <w:rFonts w:ascii="Times New Roman" w:hAnsi="Times New Roman"/>
          <w:sz w:val="20"/>
        </w:rPr>
        <w:t xml:space="preserve">” shall have the meaning specified in Section 15.02(f). </w:t>
      </w:r>
    </w:p>
    <w:p>
      <w:pPr>
        <w:pStyle w:val="TextBody"/>
        <w:bidi w:val="0"/>
        <w:spacing w:before="240" w:after="0"/>
        <w:jc w:val="left"/>
        <w:rPr/>
      </w:pPr>
      <w:r>
        <w:rPr/>
        <w:t>“</w:t>
      </w:r>
      <w:r>
        <w:rPr>
          <w:rFonts w:ascii="Times New Roman" w:hAnsi="Times New Roman"/>
          <w:b/>
          <w:sz w:val="20"/>
        </w:rPr>
        <w:t>Form of Assignment and Transfer</w:t>
      </w:r>
      <w:r>
        <w:rPr>
          <w:rFonts w:ascii="Times New Roman" w:hAnsi="Times New Roman"/>
          <w:sz w:val="20"/>
        </w:rPr>
        <w:t xml:space="preserve">” means the “Form of Assignment and Transfer” attached as Attachment 3 to the Form of Note attached hereto as Exhibit A. </w:t>
      </w:r>
    </w:p>
    <w:p>
      <w:pPr>
        <w:pStyle w:val="TextBody"/>
        <w:bidi w:val="0"/>
        <w:spacing w:before="240" w:after="0"/>
        <w:jc w:val="left"/>
        <w:rPr/>
      </w:pPr>
      <w:r>
        <w:rPr/>
        <w:t>“</w:t>
      </w:r>
      <w:r>
        <w:rPr>
          <w:rFonts w:ascii="Times New Roman" w:hAnsi="Times New Roman"/>
          <w:b/>
          <w:sz w:val="20"/>
        </w:rPr>
        <w:t>Form of Fundamental Change Repurchase Notice</w:t>
      </w:r>
      <w:r>
        <w:rPr>
          <w:rFonts w:ascii="Times New Roman" w:hAnsi="Times New Roman"/>
          <w:sz w:val="20"/>
        </w:rPr>
        <w:t xml:space="preserve">” means the “Form of Fundamental Change Repurchase Notice” attached as Attachment 2 to the Form of Note attached hereto as Exhibit A. </w:t>
      </w:r>
    </w:p>
    <w:p>
      <w:pPr>
        <w:pStyle w:val="TextBody"/>
        <w:bidi w:val="0"/>
        <w:spacing w:before="240" w:after="0"/>
        <w:jc w:val="left"/>
        <w:rPr/>
      </w:pPr>
      <w:r>
        <w:rPr/>
        <w:t>“</w:t>
      </w:r>
      <w:r>
        <w:rPr>
          <w:rFonts w:ascii="Times New Roman" w:hAnsi="Times New Roman"/>
          <w:b/>
          <w:sz w:val="20"/>
        </w:rPr>
        <w:t>Form of Note</w:t>
      </w:r>
      <w:r>
        <w:rPr>
          <w:rFonts w:ascii="Times New Roman" w:hAnsi="Times New Roman"/>
          <w:sz w:val="20"/>
        </w:rPr>
        <w:t xml:space="preserve">” means the “Form of Note” attached hereto as Exhibit A. </w:t>
      </w:r>
    </w:p>
    <w:p>
      <w:pPr>
        <w:pStyle w:val="TextBody"/>
        <w:bidi w:val="0"/>
        <w:spacing w:before="240" w:after="0"/>
        <w:jc w:val="left"/>
        <w:rPr/>
      </w:pPr>
      <w:r>
        <w:rPr/>
        <w:t>“</w:t>
      </w:r>
      <w:r>
        <w:rPr>
          <w:rFonts w:ascii="Times New Roman" w:hAnsi="Times New Roman"/>
          <w:b/>
          <w:sz w:val="20"/>
        </w:rPr>
        <w:t>Form of Notice of Conversion</w:t>
      </w:r>
      <w:r>
        <w:rPr>
          <w:rFonts w:ascii="Times New Roman" w:hAnsi="Times New Roman"/>
          <w:sz w:val="20"/>
        </w:rPr>
        <w:t xml:space="preserve">” means the “Form of Notice of Conversion” attached as Attachment 1 to the Form of Note attached hereto as Exhibit A. </w:t>
      </w:r>
    </w:p>
    <w:p>
      <w:pPr>
        <w:pStyle w:val="TextBody"/>
        <w:bidi w:val="0"/>
        <w:spacing w:before="240" w:after="0"/>
        <w:jc w:val="left"/>
        <w:rPr/>
      </w:pPr>
      <w:r>
        <w:rPr/>
        <w:t>“</w:t>
      </w:r>
      <w:r>
        <w:rPr>
          <w:rFonts w:ascii="Times New Roman" w:hAnsi="Times New Roman"/>
          <w:b/>
          <w:sz w:val="20"/>
        </w:rPr>
        <w:t>Fundamental Change</w:t>
      </w:r>
      <w:r>
        <w:rPr>
          <w:rFonts w:ascii="Times New Roman" w:hAnsi="Times New Roman"/>
          <w:sz w:val="20"/>
        </w:rPr>
        <w:t xml:space="preserve">” shall be deemed to have occurred at the time after the Notes are originally issued if any of the following occurs: </w:t>
      </w:r>
    </w:p>
    <w:p>
      <w:pPr>
        <w:pStyle w:val="TextBody"/>
        <w:bidi w:val="0"/>
        <w:spacing w:before="120" w:after="0"/>
        <w:jc w:val="left"/>
        <w:rPr>
          <w:rFonts w:ascii="Times New Roman" w:hAnsi="Times New Roman"/>
          <w:sz w:val="20"/>
        </w:rPr>
      </w:pPr>
      <w:r>
        <w:rPr>
          <w:rFonts w:ascii="Times New Roman" w:hAnsi="Times New Roman"/>
          <w:sz w:val="20"/>
        </w:rPr>
        <w:t xml:space="preserve">(a) except in connection with transactions described in clause (b) below, a “person” or “group” within the meaning of Section 13(d) of the Exchange Act, other than the Company, its direct or indirect Wholly Owned Subsidiaries and, the employee benefit plans of the Company and its Wholly Owned Subsidiaries, has become and files a Schedule TO (or any successor schedule, form or report) or any schedule, form or report under the Exchange Act that discloses that such person or group has become the direct or indirect “beneficial owner,” as defined in Rule 13d-3 under the Exchange Act, of shares of the Common Stock representing more than 50% of the voting power of the Common Equity of the Company, unless such beneficial ownership arises solely as a result of a revocable proxy delivered in response to a public proxy or consent solicitation made pursuant to the applicable rules and regulations under the Exchange Act and is not also then reportable on Schedule 13D or Schedule 13G (or any successor schedule) under the Exchange Act regardless of whether such a filing has actually been made; </w:t>
      </w:r>
      <w:r>
        <w:rPr>
          <w:rFonts w:ascii="Times New Roman" w:hAnsi="Times New Roman"/>
          <w:i/>
          <w:sz w:val="20"/>
        </w:rPr>
        <w:t>provided</w:t>
      </w:r>
      <w:r>
        <w:rPr>
          <w:rFonts w:ascii="Times New Roman" w:hAnsi="Times New Roman"/>
          <w:sz w:val="20"/>
        </w:rPr>
        <w:t xml:space="preserve"> that no person or group shall be deemed to be the beneficial owner of any securities tendered pursuant to a tender or exchange offer made by or on behalf of such “person” or “group” until such tendered securities are accepted for purchase or exchange under such offer; </w:t>
      </w:r>
      <w:r>
        <w:rPr>
          <w:rFonts w:ascii="Times New Roman" w:hAnsi="Times New Roman"/>
          <w:i/>
          <w:sz w:val="20"/>
        </w:rPr>
        <w:t>provided further</w:t>
      </w:r>
      <w:r>
        <w:rPr>
          <w:rFonts w:ascii="Times New Roman" w:hAnsi="Times New Roman"/>
          <w:sz w:val="20"/>
        </w:rPr>
        <w:t xml:space="preserve"> that in the case of one or more Permitted Holders, such person or group shall not be the deemed beneficial of shares of Common Stock as a result of Rule13d-3(d)(1)(i);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consummation of (A) any recapitalization, reclassification or change of the Common Stock (other than a change to par value, or from par value to no par value, or changes resulting from a subdivision or combination) as a result of which the Common Stock would be converted into, or exchanged for, stock, other securities, other property or assets (other than a transaction or event described in clause (B) below); (B) any share exchange, consolidation or merger of the Company pursuant to which the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direct or indirect Wholly Owned Subsidiaries;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transaction described in clause (A) or clause (B) 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(relative to each other) as such ownership immediately prior to such transaction shall not be a Fundamental Change pursuant to this clause (b); </w:t>
      </w:r>
    </w:p>
    <w:p>
      <w:pPr>
        <w:pStyle w:val="TextBody"/>
        <w:bidi w:val="0"/>
        <w:spacing w:before="120" w:after="0"/>
        <w:jc w:val="left"/>
        <w:rPr>
          <w:rFonts w:ascii="Times New Roman" w:hAnsi="Times New Roman"/>
          <w:sz w:val="20"/>
        </w:rPr>
      </w:pPr>
      <w:r>
        <w:rPr>
          <w:rFonts w:ascii="Times New Roman" w:hAnsi="Times New Roman"/>
          <w:sz w:val="20"/>
        </w:rPr>
        <w:t xml:space="preserve">(c) the stockholders of the Company approve any plan or proposal for the liquidation or dissolution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(d) the Common Stock (or other common stock underlying the Notes) ceases to be listed or quoted on any of The New York Stock Exchange, the NYSE American, the Nasdaq Global Select Market, the Nasdaq Global Market or the Nasdaq Capital Market (or any of their respective successors);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transaction or transactions described in clause (b) above shall not constitute a Fundamental Change, if at least 90% of the consideration received or to be received by the common stockholders of the Company, excluding cash payments for fractional shares and cash payments made in respect of dissenters’ appraisal rights, in connection with such transaction or transactions consists of shares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the Notes become convertible into such consideration, excluding cash payments for fractional shares and cash payments made in respect of dissenters’ appraisal rights (subject to the provisions of Section 14.02(a)). If any transaction in which the Common Stock is replaced by the common stock or other Common Equity of another entity occurs, following completion of any related Make-Whole Fundamental Change Period (or, in the case of a transaction that would have been a Fundamental Change or a Make-Whole Fundamental Change but for the proviso immediately following clause (d) of this definition, following the effective date of such transaction), references to the Company in this definition shall instead be references to such 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Fundamental Change Company Notice</w:t>
      </w:r>
      <w:r>
        <w:rPr>
          <w:rFonts w:ascii="Times New Roman" w:hAnsi="Times New Roman"/>
          <w:sz w:val="20"/>
        </w:rPr>
        <w:t xml:space="preserve">” shall have the meaning specified in Section 15.02(c). </w:t>
      </w:r>
    </w:p>
    <w:p>
      <w:pPr>
        <w:pStyle w:val="TextBody"/>
        <w:bidi w:val="0"/>
        <w:spacing w:before="240" w:after="0"/>
        <w:jc w:val="left"/>
        <w:rPr/>
      </w:pPr>
      <w:r>
        <w:rPr/>
        <w:t>“</w:t>
      </w:r>
      <w:r>
        <w:rPr>
          <w:rFonts w:ascii="Times New Roman" w:hAnsi="Times New Roman"/>
          <w:b/>
          <w:sz w:val="20"/>
        </w:rPr>
        <w:t>Fundamental Change Repurchase Date</w:t>
      </w:r>
      <w:r>
        <w:rPr>
          <w:rFonts w:ascii="Times New Roman" w:hAnsi="Times New Roman"/>
          <w:sz w:val="20"/>
        </w:rPr>
        <w:t xml:space="preserve">” shall have the meaning specified in Section 15.02(a). </w:t>
      </w:r>
    </w:p>
    <w:p>
      <w:pPr>
        <w:pStyle w:val="TextBody"/>
        <w:bidi w:val="0"/>
        <w:spacing w:before="240" w:after="0"/>
        <w:jc w:val="left"/>
        <w:rPr/>
      </w:pPr>
      <w:r>
        <w:rPr/>
        <w:t>“</w:t>
      </w:r>
      <w:r>
        <w:rPr>
          <w:rFonts w:ascii="Times New Roman" w:hAnsi="Times New Roman"/>
          <w:b/>
          <w:sz w:val="20"/>
        </w:rPr>
        <w:t>Fundamental Change Repurchase Notice</w:t>
      </w:r>
      <w:r>
        <w:rPr>
          <w:rFonts w:ascii="Times New Roman" w:hAnsi="Times New Roman"/>
          <w:sz w:val="20"/>
        </w:rPr>
        <w:t xml:space="preserve">” shall have the meaning specified in Section 15.02(b)(i). </w:t>
      </w:r>
    </w:p>
    <w:p>
      <w:pPr>
        <w:pStyle w:val="TextBody"/>
        <w:bidi w:val="0"/>
        <w:spacing w:before="240" w:after="0"/>
        <w:jc w:val="left"/>
        <w:rPr/>
      </w:pPr>
      <w:r>
        <w:rPr/>
        <w:t>“</w:t>
      </w:r>
      <w:r>
        <w:rPr>
          <w:rFonts w:ascii="Times New Roman" w:hAnsi="Times New Roman"/>
          <w:b/>
          <w:sz w:val="20"/>
        </w:rPr>
        <w:t>Fundamental Change Repurchase Price</w:t>
      </w:r>
      <w:r>
        <w:rPr>
          <w:rFonts w:ascii="Times New Roman" w:hAnsi="Times New Roman"/>
          <w:sz w:val="20"/>
        </w:rPr>
        <w:t xml:space="preserve">” shall have the meaning specified in Section 15.02(a). </w:t>
      </w:r>
    </w:p>
    <w:p>
      <w:pPr>
        <w:pStyle w:val="TextBody"/>
        <w:bidi w:val="0"/>
        <w:spacing w:before="240" w:after="0"/>
        <w:jc w:val="left"/>
        <w:rPr>
          <w:rFonts w:ascii="Times New Roman" w:hAnsi="Times New Roman"/>
          <w:sz w:val="20"/>
        </w:rPr>
      </w:pPr>
      <w:r>
        <w:rPr>
          <w:rFonts w:ascii="Times New Roman" w:hAnsi="Times New Roman"/>
          <w:sz w:val="20"/>
        </w:rPr>
        <w:t>The terms “</w:t>
      </w:r>
      <w:r>
        <w:rPr>
          <w:rFonts w:ascii="Times New Roman" w:hAnsi="Times New Roman"/>
          <w:b/>
          <w:sz w:val="20"/>
        </w:rPr>
        <w:t>given</w:t>
      </w:r>
      <w:r>
        <w:rPr>
          <w:rFonts w:ascii="Times New Roman" w:hAnsi="Times New Roman"/>
          <w:sz w:val="20"/>
        </w:rPr>
        <w:t>”, “</w:t>
      </w:r>
      <w:r>
        <w:rPr>
          <w:rFonts w:ascii="Times New Roman" w:hAnsi="Times New Roman"/>
          <w:b/>
          <w:sz w:val="20"/>
        </w:rPr>
        <w:t>mailed</w:t>
      </w:r>
      <w:r>
        <w:rPr>
          <w:rFonts w:ascii="Times New Roman" w:hAnsi="Times New Roman"/>
          <w:sz w:val="20"/>
        </w:rPr>
        <w:t>”, “</w:t>
      </w:r>
      <w:r>
        <w:rPr>
          <w:rFonts w:ascii="Times New Roman" w:hAnsi="Times New Roman"/>
          <w:b/>
          <w:sz w:val="20"/>
        </w:rPr>
        <w:t>notify</w:t>
      </w:r>
      <w:r>
        <w:rPr>
          <w:rFonts w:ascii="Times New Roman" w:hAnsi="Times New Roman"/>
          <w:sz w:val="20"/>
        </w:rPr>
        <w:t>” or “</w:t>
      </w:r>
      <w:r>
        <w:rPr>
          <w:rFonts w:ascii="Times New Roman" w:hAnsi="Times New Roman"/>
          <w:b/>
          <w:sz w:val="20"/>
        </w:rPr>
        <w:t>sent</w:t>
      </w:r>
      <w:r>
        <w:rPr>
          <w:rFonts w:ascii="Times New Roman" w:hAnsi="Times New Roman"/>
          <w:sz w:val="20"/>
        </w:rPr>
        <w:t xml:space="preserve">” with respect to any notice to be given to a Holder pursuant to this Indenture, shall mean notice (x) given to the Depositary (or its designee) pursuant to the standing instructions from the Depositary or its designee, including by electronic mail in accordance with accepted practices or applicable procedures at the Depositary (in the case of a Global Note) or (y) mailed to such Holder by first class mail, postage prepaid, at its address as it appears on the Note Register (in the case of a Physical Note), in each case, in accordance with Section 17.03. Notice so “given” shall be deemed to include any notice to be “mailed” or “delivered,” as applicable, under this Indenture. </w:t>
      </w:r>
    </w:p>
    <w:p>
      <w:pPr>
        <w:pStyle w:val="TextBody"/>
        <w:bidi w:val="0"/>
        <w:spacing w:before="240" w:after="0"/>
        <w:jc w:val="left"/>
        <w:rPr/>
      </w:pPr>
      <w:r>
        <w:rPr/>
        <w:t>“</w:t>
      </w:r>
      <w:r>
        <w:rPr>
          <w:rFonts w:ascii="Times New Roman" w:hAnsi="Times New Roman"/>
          <w:b/>
          <w:sz w:val="20"/>
        </w:rPr>
        <w:t>Global Note</w:t>
      </w:r>
      <w:r>
        <w:rPr>
          <w:rFonts w:ascii="Times New Roman" w:hAnsi="Times New Roman"/>
          <w:sz w:val="20"/>
        </w:rPr>
        <w:t xml:space="preserve">” shall have the meaning specified in Section 2.05(b). </w:t>
      </w:r>
    </w:p>
    <w:p>
      <w:pPr>
        <w:pStyle w:val="TextBody"/>
        <w:bidi w:val="0"/>
        <w:spacing w:before="240" w:after="0"/>
        <w:jc w:val="left"/>
        <w:rPr/>
      </w:pPr>
      <w:r>
        <w:rPr/>
        <w:t>“</w:t>
      </w:r>
      <w:r>
        <w:rPr>
          <w:rFonts w:ascii="Times New Roman" w:hAnsi="Times New Roman"/>
          <w:b/>
          <w:sz w:val="20"/>
        </w:rPr>
        <w:t>Governing Body</w:t>
      </w:r>
      <w:r>
        <w:rPr>
          <w:rFonts w:ascii="Times New Roman" w:hAnsi="Times New Roman"/>
          <w:sz w:val="20"/>
        </w:rPr>
        <w:t xml:space="preserve">” means the board of directors or other body having the power to direct or cause the direction of the management and policies of a Person that is a corporation, partnership, trust or limited liability company. </w:t>
      </w:r>
    </w:p>
    <w:p>
      <w:pPr>
        <w:pStyle w:val="TextBody"/>
        <w:bidi w:val="0"/>
        <w:spacing w:before="240" w:after="0"/>
        <w:jc w:val="left"/>
        <w:rPr/>
      </w:pPr>
      <w:r>
        <w:rPr/>
        <w:t>“</w:t>
      </w:r>
      <w:r>
        <w:rPr>
          <w:rFonts w:ascii="Times New Roman" w:hAnsi="Times New Roman"/>
          <w:b/>
          <w:sz w:val="20"/>
        </w:rPr>
        <w:t>Guarantors</w:t>
      </w:r>
      <w:r>
        <w:rPr>
          <w:rFonts w:ascii="Times New Roman" w:hAnsi="Times New Roman"/>
          <w:sz w:val="20"/>
        </w:rPr>
        <w:t xml:space="preserve">” means each of (i) the Guarantors party hereto and (ii) any other Subsidiary of the Company that executes a Note Guarantee in accordance with the provisions of this Indenture, and its successors and assigns, in each case, until the Note Guarantee of such Person has been released in accordance with the provisions of this Indenture.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xml:space="preserve">,” as applied to any Note, or other similar terms (but excluding the term “beneficial holder”), means any Person in whose name at the time a particular Note is registered on the Note Register. </w:t>
      </w:r>
    </w:p>
    <w:p>
      <w:pPr>
        <w:pStyle w:val="TextBody"/>
        <w:bidi w:val="0"/>
        <w:spacing w:before="240" w:after="0"/>
        <w:jc w:val="left"/>
        <w:rPr/>
      </w:pPr>
      <w:r>
        <w:rPr/>
        <w:t>“</w:t>
      </w:r>
      <w:r>
        <w:rPr>
          <w:rFonts w:ascii="Times New Roman" w:hAnsi="Times New Roman"/>
          <w:b/>
          <w:sz w:val="20"/>
        </w:rPr>
        <w:t>Indenture</w:t>
      </w:r>
      <w:r>
        <w:rPr>
          <w:rFonts w:ascii="Times New Roman" w:hAnsi="Times New Roman"/>
          <w:sz w:val="20"/>
        </w:rPr>
        <w:t xml:space="preserve">” means this instrument as originally executed or, if amended or supplemented as herein provided, as so amended or supplemented. </w:t>
      </w:r>
    </w:p>
    <w:p>
      <w:pPr>
        <w:pStyle w:val="TextBody"/>
        <w:bidi w:val="0"/>
        <w:spacing w:before="240" w:after="0"/>
        <w:jc w:val="left"/>
        <w:rPr/>
      </w:pPr>
      <w:r>
        <w:rPr/>
        <w:t>“</w:t>
      </w:r>
      <w:r>
        <w:rPr>
          <w:rFonts w:ascii="Times New Roman" w:hAnsi="Times New Roman"/>
          <w:b/>
          <w:sz w:val="20"/>
        </w:rPr>
        <w:t>Interest Amount</w:t>
      </w:r>
      <w:r>
        <w:rPr>
          <w:rFonts w:ascii="Times New Roman" w:hAnsi="Times New Roman"/>
          <w:sz w:val="20"/>
        </w:rPr>
        <w:t xml:space="preserve">” shall have the meaning specified in Section 2.03(d).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Interest Payment Date</w:t>
      </w:r>
      <w:r>
        <w:rPr>
          <w:rFonts w:ascii="Times New Roman" w:hAnsi="Times New Roman"/>
          <w:sz w:val="20"/>
        </w:rPr>
        <w:t xml:space="preserve">” means each May 15 and November 15 of each year, beginning on May 15, 2026. </w:t>
      </w:r>
    </w:p>
    <w:p>
      <w:pPr>
        <w:pStyle w:val="TextBody"/>
        <w:bidi w:val="0"/>
        <w:spacing w:before="240" w:after="0"/>
        <w:jc w:val="left"/>
        <w:rPr/>
      </w:pPr>
      <w:r>
        <w:rPr/>
        <w:t>“</w:t>
      </w:r>
      <w:r>
        <w:rPr>
          <w:rFonts w:ascii="Times New Roman" w:hAnsi="Times New Roman"/>
          <w:b/>
          <w:sz w:val="20"/>
        </w:rPr>
        <w:t>last date of original issuance</w:t>
      </w:r>
      <w:r>
        <w:rPr>
          <w:rFonts w:ascii="Times New Roman" w:hAnsi="Times New Roman"/>
          <w:sz w:val="20"/>
        </w:rPr>
        <w:t xml:space="preserve">” means (a) with respect to any Notes issued on the date of this Indenture, and any Notes issued in exchange therefor or in substitution thereof, the date the Company first issues such Notes; and (b) with respect to any additional Notes issued pursuant to Section 2.10, and any Notes issued in exchange therefor or in substitution thereof, either (i) the later of (x) the date such Notes are originally issued and (y) 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 </w:t>
      </w:r>
    </w:p>
    <w:p>
      <w:pPr>
        <w:pStyle w:val="TextBody"/>
        <w:bidi w:val="0"/>
        <w:spacing w:before="240" w:after="0"/>
        <w:jc w:val="left"/>
        <w:rPr/>
      </w:pPr>
      <w:r>
        <w:rPr/>
        <w:t>“</w:t>
      </w:r>
      <w:r>
        <w:rPr>
          <w:rFonts w:ascii="Times New Roman" w:hAnsi="Times New Roman"/>
          <w:b/>
          <w:sz w:val="20"/>
        </w:rPr>
        <w:t>Make-Whole Fundamental Change</w:t>
      </w:r>
      <w:r>
        <w:rPr>
          <w:rFonts w:ascii="Times New Roman" w:hAnsi="Times New Roman"/>
          <w:sz w:val="20"/>
        </w:rPr>
        <w:t xml:space="preserve">” means any transaction or event that constitutes a Fundamental Change (as defined above and determined after giving effect to any exceptions to or exclusions from such definition, but without regard to the </w:t>
      </w:r>
      <w:r>
        <w:rPr>
          <w:rFonts w:ascii="Times New Roman" w:hAnsi="Times New Roman"/>
          <w:i/>
          <w:sz w:val="20"/>
        </w:rPr>
        <w:t>proviso</w:t>
      </w:r>
      <w:r>
        <w:rPr>
          <w:rFonts w:ascii="Times New Roman" w:hAnsi="Times New Roman"/>
          <w:sz w:val="20"/>
        </w:rPr>
        <w:t xml:space="preserve"> in clause (b) of the definition thereof). </w:t>
      </w:r>
    </w:p>
    <w:p>
      <w:pPr>
        <w:pStyle w:val="TextBody"/>
        <w:bidi w:val="0"/>
        <w:spacing w:before="240" w:after="0"/>
        <w:jc w:val="left"/>
        <w:rPr/>
      </w:pPr>
      <w:r>
        <w:rPr/>
        <w:t>“</w:t>
      </w:r>
      <w:r>
        <w:rPr>
          <w:rFonts w:ascii="Times New Roman" w:hAnsi="Times New Roman"/>
          <w:b/>
          <w:sz w:val="20"/>
        </w:rPr>
        <w:t>Make-Whole Fundamental Change Period</w:t>
      </w:r>
      <w:r>
        <w:rPr>
          <w:rFonts w:ascii="Times New Roman" w:hAnsi="Times New Roman"/>
          <w:sz w:val="20"/>
        </w:rPr>
        <w:t xml:space="preserve">” shall have the meaning specified in Section 14.03(a). </w:t>
      </w:r>
    </w:p>
    <w:p>
      <w:pPr>
        <w:pStyle w:val="TextBody"/>
        <w:bidi w:val="0"/>
        <w:spacing w:before="240" w:after="0"/>
        <w:jc w:val="left"/>
        <w:rPr/>
      </w:pPr>
      <w:r>
        <w:rPr/>
        <w:t>“</w:t>
      </w:r>
      <w:r>
        <w:rPr>
          <w:rFonts w:ascii="Times New Roman" w:hAnsi="Times New Roman"/>
          <w:b/>
          <w:sz w:val="20"/>
        </w:rPr>
        <w:t>Market Disruption Event</w:t>
      </w:r>
      <w:r>
        <w:rPr>
          <w:rFonts w:ascii="Times New Roman" w:hAnsi="Times New Roman"/>
          <w:sz w:val="20"/>
        </w:rPr>
        <w:t xml:space="preserve">” means, for the purposes of determining amounts due upon conversion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 </w:t>
      </w:r>
    </w:p>
    <w:p>
      <w:pPr>
        <w:pStyle w:val="TextBody"/>
        <w:bidi w:val="0"/>
        <w:spacing w:before="240" w:after="0"/>
        <w:jc w:val="left"/>
        <w:rPr/>
      </w:pPr>
      <w:r>
        <w:rPr/>
        <w:t>“</w:t>
      </w:r>
      <w:r>
        <w:rPr>
          <w:rFonts w:ascii="Times New Roman" w:hAnsi="Times New Roman"/>
          <w:b/>
          <w:sz w:val="20"/>
        </w:rPr>
        <w:t>Material Domestic Subsidiary</w:t>
      </w:r>
      <w:r>
        <w:rPr>
          <w:rFonts w:ascii="Times New Roman" w:hAnsi="Times New Roman"/>
          <w:sz w:val="20"/>
        </w:rPr>
        <w:t xml:space="preserve">” means each Domestic Subsidiary, that, as of the last day of the fiscal quarter of the Company’s most recently ended for which financial statements are available, had revenues or total assets for such quarter in excess of 5% of the consolidated revenues or total assets, as applicable, of the Company for such quarter or that is otherwise designated by the Company as a Material Domestic Subsidiary. </w:t>
      </w:r>
    </w:p>
    <w:p>
      <w:pPr>
        <w:pStyle w:val="TextBody"/>
        <w:bidi w:val="0"/>
        <w:spacing w:before="240" w:after="0"/>
        <w:jc w:val="left"/>
        <w:rPr/>
      </w:pPr>
      <w:r>
        <w:rPr/>
        <w:t>“</w:t>
      </w:r>
      <w:r>
        <w:rPr>
          <w:rFonts w:ascii="Times New Roman" w:hAnsi="Times New Roman"/>
          <w:b/>
          <w:sz w:val="20"/>
        </w:rPr>
        <w:t>Maturity Date</w:t>
      </w:r>
      <w:r>
        <w:rPr>
          <w:rFonts w:ascii="Times New Roman" w:hAnsi="Times New Roman"/>
          <w:sz w:val="20"/>
        </w:rPr>
        <w:t xml:space="preserve">” means November 15, 2032. </w:t>
      </w:r>
    </w:p>
    <w:p>
      <w:pPr>
        <w:pStyle w:val="TextBody"/>
        <w:bidi w:val="0"/>
        <w:spacing w:before="240" w:after="0"/>
        <w:jc w:val="left"/>
        <w:rPr/>
      </w:pPr>
      <w:r>
        <w:rPr/>
        <w:t>“</w:t>
      </w:r>
      <w:r>
        <w:rPr>
          <w:rFonts w:ascii="Times New Roman" w:hAnsi="Times New Roman"/>
          <w:b/>
          <w:sz w:val="20"/>
        </w:rPr>
        <w:t>Note</w:t>
      </w:r>
      <w:r>
        <w:rPr>
          <w:rFonts w:ascii="Times New Roman" w:hAnsi="Times New Roman"/>
          <w:sz w:val="20"/>
        </w:rPr>
        <w:t>” or “</w:t>
      </w:r>
      <w:r>
        <w:rPr>
          <w:rFonts w:ascii="Times New Roman" w:hAnsi="Times New Roman"/>
          <w:b/>
          <w:sz w:val="20"/>
        </w:rPr>
        <w:t>Notes</w:t>
      </w:r>
      <w:r>
        <w:rPr>
          <w:rFonts w:ascii="Times New Roman" w:hAnsi="Times New Roman"/>
          <w:sz w:val="20"/>
        </w:rPr>
        <w:t xml:space="preserve">” shall have the meaning specified in the first paragraph of the recitals of this Indenture. </w:t>
      </w:r>
    </w:p>
    <w:p>
      <w:pPr>
        <w:pStyle w:val="TextBody"/>
        <w:bidi w:val="0"/>
        <w:spacing w:before="240" w:after="0"/>
        <w:jc w:val="left"/>
        <w:rPr/>
      </w:pPr>
      <w:r>
        <w:rPr/>
        <w:t>“</w:t>
      </w:r>
      <w:r>
        <w:rPr>
          <w:rFonts w:ascii="Times New Roman" w:hAnsi="Times New Roman"/>
          <w:b/>
          <w:sz w:val="20"/>
        </w:rPr>
        <w:t>Note Documents</w:t>
      </w:r>
      <w:r>
        <w:rPr>
          <w:rFonts w:ascii="Times New Roman" w:hAnsi="Times New Roman"/>
          <w:sz w:val="20"/>
        </w:rPr>
        <w:t xml:space="preserve">” shall mean the Notes, this Indenture and any Note Guarantee.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Note Guarantee</w:t>
      </w:r>
      <w:r>
        <w:rPr>
          <w:rFonts w:ascii="Times New Roman" w:hAnsi="Times New Roman"/>
          <w:sz w:val="20"/>
        </w:rPr>
        <w:t xml:space="preserve">” means the guarantee by and Guarantor of the Company’s Note Obligations under this Indenture and the Notes. </w:t>
      </w:r>
    </w:p>
    <w:p>
      <w:pPr>
        <w:pStyle w:val="TextBody"/>
        <w:bidi w:val="0"/>
        <w:spacing w:before="240" w:after="0"/>
        <w:jc w:val="left"/>
        <w:rPr/>
      </w:pPr>
      <w:r>
        <w:rPr/>
        <w:t>“</w:t>
      </w:r>
      <w:r>
        <w:rPr>
          <w:rFonts w:ascii="Times New Roman" w:hAnsi="Times New Roman"/>
          <w:b/>
          <w:sz w:val="20"/>
        </w:rPr>
        <w:t>Note Obligations</w:t>
      </w:r>
      <w:r>
        <w:rPr>
          <w:rFonts w:ascii="Times New Roman" w:hAnsi="Times New Roman"/>
          <w:sz w:val="20"/>
        </w:rPr>
        <w:t xml:space="preserve">” means all obligations of every nature of the Company from time to time owed to the Trustee and the Holders of the Notes or any of them under the Note Documents, whether for principal, interest (including interest accruing on or after the filing of any petition in bankruptcy or for reorganization relating to the Company whether or not a claim for Post-Petition Interest is allowed in such proceedings), premiums, fees, expenses, indemnification or otherwise. </w:t>
      </w:r>
    </w:p>
    <w:p>
      <w:pPr>
        <w:pStyle w:val="TextBody"/>
        <w:bidi w:val="0"/>
        <w:spacing w:before="240" w:after="0"/>
        <w:jc w:val="left"/>
        <w:rPr/>
      </w:pPr>
      <w:r>
        <w:rPr/>
        <w:t>“</w:t>
      </w:r>
      <w:r>
        <w:rPr>
          <w:rFonts w:ascii="Times New Roman" w:hAnsi="Times New Roman"/>
          <w:b/>
          <w:sz w:val="20"/>
        </w:rPr>
        <w:t>Note Register</w:t>
      </w:r>
      <w:r>
        <w:rPr>
          <w:rFonts w:ascii="Times New Roman" w:hAnsi="Times New Roman"/>
          <w:sz w:val="20"/>
        </w:rPr>
        <w:t xml:space="preserve">” shall have the meaning specified in Section 2.05(a). </w:t>
      </w:r>
    </w:p>
    <w:p>
      <w:pPr>
        <w:pStyle w:val="TextBody"/>
        <w:bidi w:val="0"/>
        <w:spacing w:before="240" w:after="0"/>
        <w:jc w:val="left"/>
        <w:rPr/>
      </w:pPr>
      <w:r>
        <w:rPr/>
        <w:t>“</w:t>
      </w:r>
      <w:r>
        <w:rPr>
          <w:rFonts w:ascii="Times New Roman" w:hAnsi="Times New Roman"/>
          <w:b/>
          <w:sz w:val="20"/>
        </w:rPr>
        <w:t>Note Registrar</w:t>
      </w:r>
      <w:r>
        <w:rPr>
          <w:rFonts w:ascii="Times New Roman" w:hAnsi="Times New Roman"/>
          <w:sz w:val="20"/>
        </w:rPr>
        <w:t xml:space="preserve">” shall have the meaning specified in Section 2.05(a). </w:t>
      </w:r>
    </w:p>
    <w:p>
      <w:pPr>
        <w:pStyle w:val="TextBody"/>
        <w:bidi w:val="0"/>
        <w:spacing w:before="240" w:after="0"/>
        <w:jc w:val="left"/>
        <w:rPr/>
      </w:pPr>
      <w:r>
        <w:rPr/>
        <w:t>“</w:t>
      </w:r>
      <w:r>
        <w:rPr>
          <w:rFonts w:ascii="Times New Roman" w:hAnsi="Times New Roman"/>
          <w:b/>
          <w:sz w:val="20"/>
        </w:rPr>
        <w:t>Notice of Conversion</w:t>
      </w:r>
      <w:r>
        <w:rPr>
          <w:rFonts w:ascii="Times New Roman" w:hAnsi="Times New Roman"/>
          <w:sz w:val="20"/>
        </w:rPr>
        <w:t xml:space="preserve">” shall have the meaning specified in Section 14.02(b). </w:t>
      </w:r>
    </w:p>
    <w:p>
      <w:pPr>
        <w:pStyle w:val="TextBody"/>
        <w:bidi w:val="0"/>
        <w:spacing w:before="240" w:after="0"/>
        <w:jc w:val="left"/>
        <w:rPr/>
      </w:pPr>
      <w:r>
        <w:rPr/>
        <w:t>“</w:t>
      </w:r>
      <w:r>
        <w:rPr>
          <w:rFonts w:ascii="Times New Roman" w:hAnsi="Times New Roman"/>
          <w:b/>
          <w:sz w:val="20"/>
        </w:rPr>
        <w:t>Notice of Redemption</w:t>
      </w:r>
      <w:r>
        <w:rPr>
          <w:rFonts w:ascii="Times New Roman" w:hAnsi="Times New Roman"/>
          <w:sz w:val="20"/>
        </w:rPr>
        <w:t xml:space="preserve">” shall have the meaning specified in Section 16.02(a). </w:t>
      </w:r>
    </w:p>
    <w:p>
      <w:pPr>
        <w:pStyle w:val="TextBody"/>
        <w:bidi w:val="0"/>
        <w:spacing w:before="240" w:after="0"/>
        <w:jc w:val="left"/>
        <w:rPr/>
      </w:pPr>
      <w:r>
        <w:rPr/>
        <w:t>“</w:t>
      </w:r>
      <w:r>
        <w:rPr>
          <w:rFonts w:ascii="Times New Roman" w:hAnsi="Times New Roman"/>
          <w:b/>
          <w:sz w:val="20"/>
        </w:rPr>
        <w:t>Observation Period</w:t>
      </w:r>
      <w:r>
        <w:rPr>
          <w:rFonts w:ascii="Times New Roman" w:hAnsi="Times New Roman"/>
          <w:sz w:val="20"/>
        </w:rPr>
        <w:t xml:space="preserve">” with respect to any Note surrendered for conversion means: (i) subject to clause (ii), if the relevant Conversion Date occurs prior to August 15, 2032, the 40 consecutive Trading Day period beginning on, and including, the second Trading Day immediately succeeding such Conversion Date; (ii) with respect to any Called Notes, if the relevant Conversion Date occurs during the related Redemption Period, the 40 consecutive Trading Days beginning on, and including, the 41st Scheduled Trading Day immediately preceding such Redemption Date; and (iii) subject to clause (ii), if the relevant Conversion Date occurs on or after August 15, 2032, the 40 consecutive Trading Days beginning on, and including, the 41st Scheduled Trading Day immediately preceding the Maturity Date. </w:t>
      </w:r>
    </w:p>
    <w:p>
      <w:pPr>
        <w:pStyle w:val="TextBody"/>
        <w:bidi w:val="0"/>
        <w:spacing w:before="240" w:after="0"/>
        <w:jc w:val="left"/>
        <w:rPr/>
      </w:pPr>
      <w:r>
        <w:rPr/>
        <w:t>“</w:t>
      </w:r>
      <w:r>
        <w:rPr>
          <w:rFonts w:ascii="Times New Roman" w:hAnsi="Times New Roman"/>
          <w:b/>
          <w:sz w:val="20"/>
        </w:rPr>
        <w:t>Officer</w:t>
      </w:r>
      <w:r>
        <w:rPr>
          <w:rFonts w:ascii="Times New Roman" w:hAnsi="Times New Roman"/>
          <w:sz w:val="20"/>
        </w:rPr>
        <w:t xml:space="preserve">” means, with respect to the Company, the Chief Executive Officer, the President, the Principal Financial Officer, the General Counsel, the Treasurer, the Secretary, any Executive or Senior Vice President or any Vice President (whether or not designated by a number or numbers or word or words added before or after the title “Vice President”).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when used with respect to the Company, means a certificate that is delivered to the Trustee and that is signed by any Officer of the Company. Each such certificate shall include the statements provided for in Section 17.05 if and to the extent required by the provisions of such Section. The Officer giving an Officer’s Certificate pursuant to Section 4.08 shall be the principal executive, financial or accounting officer of the Company. </w:t>
      </w:r>
    </w:p>
    <w:p>
      <w:pPr>
        <w:pStyle w:val="TextBody"/>
        <w:bidi w:val="0"/>
        <w:spacing w:before="240" w:after="0"/>
        <w:jc w:val="left"/>
        <w:rPr/>
      </w:pPr>
      <w:r>
        <w:rPr/>
        <w:t>“</w:t>
      </w:r>
      <w:r>
        <w:rPr>
          <w:rFonts w:ascii="Times New Roman" w:hAnsi="Times New Roman"/>
          <w:b/>
          <w:sz w:val="20"/>
        </w:rPr>
        <w:t>open of business</w:t>
      </w:r>
      <w:r>
        <w:rPr>
          <w:rFonts w:ascii="Times New Roman" w:hAnsi="Times New Roman"/>
          <w:sz w:val="20"/>
        </w:rPr>
        <w:t xml:space="preserve">” means 9:00 a.m. (New York City time). </w:t>
      </w:r>
    </w:p>
    <w:p>
      <w:pPr>
        <w:pStyle w:val="TextBody"/>
        <w:bidi w:val="0"/>
        <w:spacing w:before="240" w:after="0"/>
        <w:jc w:val="left"/>
        <w:rPr/>
      </w:pPr>
      <w:r>
        <w:rPr/>
        <w:t>“</w:t>
      </w:r>
      <w:r>
        <w:rPr>
          <w:rFonts w:ascii="Times New Roman" w:hAnsi="Times New Roman"/>
          <w:b/>
          <w:sz w:val="20"/>
        </w:rPr>
        <w:t>Opinion of Counsel</w:t>
      </w:r>
      <w:r>
        <w:rPr>
          <w:rFonts w:ascii="Times New Roman" w:hAnsi="Times New Roman"/>
          <w:sz w:val="20"/>
        </w:rPr>
        <w:t xml:space="preserve">” means an opinion in writing signed by legal counsel, who may be an employee of or counsel to the Company, or other counsel who is reasonably acceptable to the Trustee, which opinion may contain customary exceptions and qualifications as to the matters set forth therein, that is delivered to the Trustee. Each such opinion shall include the statements provided for in Section 17.05 if and to the extent required by the provisions of such Section 17.05.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Optional Redemption</w:t>
      </w:r>
      <w:r>
        <w:rPr>
          <w:rFonts w:ascii="Times New Roman" w:hAnsi="Times New Roman"/>
          <w:sz w:val="20"/>
        </w:rPr>
        <w:t xml:space="preserve">” shall have the meaning specified in Section 16.01. </w:t>
      </w:r>
    </w:p>
    <w:p>
      <w:pPr>
        <w:pStyle w:val="TextBody"/>
        <w:bidi w:val="0"/>
        <w:spacing w:before="240" w:after="0"/>
        <w:jc w:val="left"/>
        <w:rPr/>
      </w:pPr>
      <w:r>
        <w:rPr/>
        <w:t>“</w:t>
      </w:r>
      <w:r>
        <w:rPr>
          <w:rFonts w:ascii="Times New Roman" w:hAnsi="Times New Roman"/>
          <w:b/>
          <w:sz w:val="20"/>
        </w:rPr>
        <w:t>outstanding</w:t>
      </w:r>
      <w:r>
        <w:rPr>
          <w:rFonts w:ascii="Times New Roman" w:hAnsi="Times New Roman"/>
          <w:sz w:val="20"/>
        </w:rPr>
        <w:t xml:space="preserve">,” when used with reference to Notes, shall, subject to the provisions of Section 8.04, mean, as of any particular time, all Notes authenticated and delivered by the Trustee under this Indenture, except: </w:t>
      </w:r>
    </w:p>
    <w:p>
      <w:pPr>
        <w:pStyle w:val="TextBody"/>
        <w:bidi w:val="0"/>
        <w:spacing w:before="120" w:after="0"/>
        <w:jc w:val="left"/>
        <w:rPr>
          <w:rFonts w:ascii="Times New Roman" w:hAnsi="Times New Roman"/>
          <w:sz w:val="20"/>
        </w:rPr>
      </w:pPr>
      <w:r>
        <w:rPr>
          <w:rFonts w:ascii="Times New Roman" w:hAnsi="Times New Roman"/>
          <w:sz w:val="20"/>
        </w:rPr>
        <w:t xml:space="preserve">(a) Notes theretofore canceled by the Trustee or accepted by the Trustee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(b) Notes, or portions thereof, that have become due and payable and in respect of which monies in the necessary amount shall have been irrevocably deposited in trust with the Trustee or with any Paying Agent (other than the Company) or shall have been set aside and segregated in trust by the Company (if the Company shall act as its own Paying Agent); </w:t>
      </w:r>
    </w:p>
    <w:p>
      <w:pPr>
        <w:pStyle w:val="TextBody"/>
        <w:bidi w:val="0"/>
        <w:spacing w:before="120" w:after="0"/>
        <w:jc w:val="left"/>
        <w:rPr>
          <w:rFonts w:ascii="Times New Roman" w:hAnsi="Times New Roman"/>
          <w:sz w:val="20"/>
        </w:rPr>
      </w:pPr>
      <w:r>
        <w:rPr>
          <w:rFonts w:ascii="Times New Roman" w:hAnsi="Times New Roman"/>
          <w:sz w:val="20"/>
        </w:rPr>
        <w:t xml:space="preserve">(c) Notes that have been paid pursuant to the second paragraph of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 </w:t>
      </w:r>
    </w:p>
    <w:p>
      <w:pPr>
        <w:pStyle w:val="TextBody"/>
        <w:bidi w:val="0"/>
        <w:spacing w:before="120" w:after="0"/>
        <w:jc w:val="left"/>
        <w:rPr>
          <w:rFonts w:ascii="Times New Roman" w:hAnsi="Times New Roman"/>
          <w:sz w:val="20"/>
        </w:rPr>
      </w:pPr>
      <w:r>
        <w:rPr>
          <w:rFonts w:ascii="Times New Roman" w:hAnsi="Times New Roman"/>
          <w:sz w:val="20"/>
        </w:rPr>
        <w:t xml:space="preserve">(d) Notes converted pursuant to Article 14 and required to be cancelled pursuant to Section 2.08; </w:t>
      </w:r>
    </w:p>
    <w:p>
      <w:pPr>
        <w:pStyle w:val="TextBody"/>
        <w:bidi w:val="0"/>
        <w:spacing w:before="120" w:after="0"/>
        <w:jc w:val="left"/>
        <w:rPr>
          <w:rFonts w:ascii="Times New Roman" w:hAnsi="Times New Roman"/>
          <w:sz w:val="20"/>
        </w:rPr>
      </w:pPr>
      <w:r>
        <w:rPr>
          <w:rFonts w:ascii="Times New Roman" w:hAnsi="Times New Roman"/>
          <w:sz w:val="20"/>
        </w:rPr>
        <w:t xml:space="preserve">(e) Notes repurchased by the Company pursuant to Section 15.02 and Section 2.10 and delivered to the Trustee for cancellation in accordance with Section 2.10; and </w:t>
      </w:r>
    </w:p>
    <w:p>
      <w:pPr>
        <w:pStyle w:val="TextBody"/>
        <w:bidi w:val="0"/>
        <w:spacing w:before="120" w:after="0"/>
        <w:jc w:val="left"/>
        <w:rPr>
          <w:rFonts w:ascii="Times New Roman" w:hAnsi="Times New Roman"/>
          <w:sz w:val="20"/>
        </w:rPr>
      </w:pPr>
      <w:r>
        <w:rPr>
          <w:rFonts w:ascii="Times New Roman" w:hAnsi="Times New Roman"/>
          <w:sz w:val="20"/>
        </w:rPr>
        <w:t xml:space="preserve">(f) Notes redeemed pursuant to Article 16. </w:t>
      </w:r>
    </w:p>
    <w:p>
      <w:pPr>
        <w:pStyle w:val="TextBody"/>
        <w:bidi w:val="0"/>
        <w:spacing w:before="240" w:after="0"/>
        <w:jc w:val="left"/>
        <w:rPr/>
      </w:pPr>
      <w:r>
        <w:rPr/>
        <w:t>“</w:t>
      </w:r>
      <w:r>
        <w:rPr>
          <w:rFonts w:ascii="Times New Roman" w:hAnsi="Times New Roman"/>
          <w:b/>
          <w:sz w:val="20"/>
        </w:rPr>
        <w:t>Paying Agent</w:t>
      </w:r>
      <w:r>
        <w:rPr>
          <w:rFonts w:ascii="Times New Roman" w:hAnsi="Times New Roman"/>
          <w:sz w:val="20"/>
        </w:rPr>
        <w:t xml:space="preserve">” shall have the meaning specified in Section 4.02. </w:t>
      </w:r>
    </w:p>
    <w:p>
      <w:pPr>
        <w:pStyle w:val="TextBody"/>
        <w:bidi w:val="0"/>
        <w:spacing w:before="240" w:after="0"/>
        <w:jc w:val="left"/>
        <w:rPr/>
      </w:pPr>
      <w:r>
        <w:rPr/>
        <w:t>“</w:t>
      </w:r>
      <w:r>
        <w:rPr>
          <w:rFonts w:ascii="Times New Roman" w:hAnsi="Times New Roman"/>
          <w:b/>
          <w:sz w:val="20"/>
        </w:rPr>
        <w:t>Permitted Holders</w:t>
      </w:r>
      <w:r>
        <w:rPr>
          <w:rFonts w:ascii="Times New Roman" w:hAnsi="Times New Roman"/>
          <w:sz w:val="20"/>
        </w:rPr>
        <w:t xml:space="preserve">” means (i) Sylebra Capital LTD and any of its Affiliates, (ii) Apollo Global Securities, LLC and any of its Affiliates and (iii) any “group” as such term is used in Section 13(d) and 14(d) of the Exchange Act or any successor provision of which any of the Persons listed in clause (i) or (ii) of this definition are members and any member of such group; provided that, in the case of such group and any member of such group and without giving effect to the existence of such group or any other group, no Person or other group (other than the Permitted Holders specified in clause (i) or (ii) of this definition) owns, directly or indirectly, more than 50% of the total voting power of the Capital Stock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Person</w:t>
      </w:r>
      <w:r>
        <w:rPr>
          <w:rFonts w:ascii="Times New Roman" w:hAnsi="Times New Roman"/>
          <w:sz w:val="20"/>
        </w:rPr>
        <w:t xml:space="preserve">” means and includes natural persons, corporations, limited partnerships, general partnerships, limited liability companies, limited liability partnerships, joint stock companies, joint ventures, associations, companies, trusts, banks, trust companies, land trusts, business trusts or other organizations, whether or not legal entities, or a government or an agency or a political subdivision thereof. </w:t>
      </w:r>
    </w:p>
    <w:p>
      <w:pPr>
        <w:pStyle w:val="TextBody"/>
        <w:bidi w:val="0"/>
        <w:spacing w:before="240" w:after="0"/>
        <w:jc w:val="left"/>
        <w:rPr/>
      </w:pPr>
      <w:r>
        <w:rPr/>
        <w:t>“</w:t>
      </w:r>
      <w:r>
        <w:rPr>
          <w:rFonts w:ascii="Times New Roman" w:hAnsi="Times New Roman"/>
          <w:b/>
          <w:sz w:val="20"/>
        </w:rPr>
        <w:t>Physical Notes</w:t>
      </w:r>
      <w:r>
        <w:rPr>
          <w:rFonts w:ascii="Times New Roman" w:hAnsi="Times New Roman"/>
          <w:sz w:val="20"/>
        </w:rPr>
        <w:t xml:space="preserve">” means permanent certificated Notes in registered form issued in denominations of $1,000 principal amount and integral multiples thereof. </w:t>
      </w:r>
    </w:p>
    <w:p>
      <w:pPr>
        <w:pStyle w:val="TextBody"/>
        <w:bidi w:val="0"/>
        <w:spacing w:before="240" w:after="0"/>
        <w:jc w:val="left"/>
        <w:rPr/>
      </w:pPr>
      <w:r>
        <w:rPr/>
        <w:t>“</w:t>
      </w:r>
      <w:r>
        <w:rPr>
          <w:rFonts w:ascii="Times New Roman" w:hAnsi="Times New Roman"/>
          <w:b/>
          <w:sz w:val="20"/>
        </w:rPr>
        <w:t>Physical Settlement</w:t>
      </w:r>
      <w:r>
        <w:rPr>
          <w:rFonts w:ascii="Times New Roman" w:hAnsi="Times New Roman"/>
          <w:sz w:val="20"/>
        </w:rPr>
        <w:t xml:space="preserve">” shall have the meaning specified in Section 14.02(a). </w:t>
      </w:r>
    </w:p>
    <w:p>
      <w:pPr>
        <w:pStyle w:val="TextBody"/>
        <w:bidi w:val="0"/>
        <w:spacing w:before="240" w:after="0"/>
        <w:jc w:val="left"/>
        <w:rPr/>
      </w:pPr>
      <w:r>
        <w:rPr/>
        <w:t>“</w:t>
      </w:r>
      <w:r>
        <w:rPr>
          <w:rFonts w:ascii="Times New Roman" w:hAnsi="Times New Roman"/>
          <w:b/>
          <w:sz w:val="20"/>
        </w:rPr>
        <w:t>Post-Petition Interest”</w:t>
      </w:r>
      <w:r>
        <w:rPr>
          <w:rFonts w:ascii="Times New Roman" w:hAnsi="Times New Roman"/>
          <w:sz w:val="20"/>
        </w:rPr>
        <w:t xml:space="preserve"> means any interest or entitlement to fees or expenses or other charges that accrue after the commencement of any bankruptcy or insolvency proceeding, whether or not allowed or allowable as a claim in any such bankruptcy or insolvency proceeding. </w:t>
      </w:r>
    </w:p>
    <w:p>
      <w:pPr>
        <w:pStyle w:val="TextBody"/>
        <w:bidi w:val="0"/>
        <w:spacing w:before="240" w:after="0"/>
        <w:jc w:val="left"/>
        <w:rPr/>
      </w:pPr>
      <w:r>
        <w:rPr/>
        <w:t>“</w:t>
      </w:r>
      <w:r>
        <w:rPr>
          <w:rFonts w:ascii="Times New Roman" w:hAnsi="Times New Roman"/>
          <w:b/>
          <w:sz w:val="20"/>
        </w:rPr>
        <w:t>Predecessor Note</w:t>
      </w:r>
      <w:r>
        <w:rPr>
          <w:rFonts w:ascii="Times New Roman" w:hAnsi="Times New Roman"/>
          <w:sz w:val="20"/>
        </w:rPr>
        <w:t xml:space="preserve">”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 </w:t>
      </w:r>
    </w:p>
    <w:p>
      <w:pPr>
        <w:pStyle w:val="TextBody"/>
        <w:bidi w:val="0"/>
        <w:spacing w:before="240" w:after="0"/>
        <w:jc w:val="left"/>
        <w:rPr/>
      </w:pPr>
      <w:r>
        <w:rPr/>
        <w:t>“</w:t>
      </w:r>
      <w:r>
        <w:rPr>
          <w:rFonts w:ascii="Times New Roman" w:hAnsi="Times New Roman"/>
          <w:b/>
          <w:sz w:val="20"/>
        </w:rPr>
        <w:t>Qualified Successor Entity</w:t>
      </w:r>
      <w:r>
        <w:rPr>
          <w:rFonts w:ascii="Times New Roman" w:hAnsi="Times New Roman"/>
          <w:sz w:val="20"/>
        </w:rPr>
        <w:t xml:space="preserve">” means, with respect to a Business Combination Event, a corporation;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 if such Business Combination Event is an Exempted Fundamental Change, then a limited liability company, limited partnership or other similar entity shall also constitute a Qualified Successor Entity with respect to such Business Combination Event; and (ii) a limited liability company or limited partnership that is the resulting, surviving or transferee person of such Business Combination Event shall also constitute a Qualified Successor Entity with respect to such Business Combination Event, </w:t>
      </w:r>
      <w:r>
        <w:rPr>
          <w:rFonts w:ascii="Times New Roman" w:hAnsi="Times New Roman"/>
          <w:i/>
          <w:sz w:val="20"/>
        </w:rPr>
        <w:t>provided</w:t>
      </w:r>
      <w:r>
        <w:rPr>
          <w:rFonts w:ascii="Times New Roman" w:hAnsi="Times New Roman"/>
          <w:sz w:val="20"/>
        </w:rPr>
        <w:t xml:space="preserve"> that, in the case of this clause (ii), (1) if such limited liability company or limited partnership is not treated as a corporation or an entity disregarded as separate from a corporation, in each case for U.S. federal income tax purposes, (x) the Company has received an opinion of a nationally recognized tax counsel to the effect that such Business Combination Event shall not be treated as an exchange under Section 1001 of the Code for Holders or beneficial owners of the Notes and has delivered such opinion to the Trustee and (y) such limited liability company or limited partnership is a direct or indirect Wholly Owned Subsidiary of a corporation duly organized and existing under the laws of the United States of America, any state thereof or the District of Columbia; and (2) such Business Combination Event constitutes a Share Exchange Event whose Reference Property consists solely of any combination of U.S. dollars and shares of common stock or other corporate Common Equity interests of a corporation that is duly organized and existing under the laws of the United States of America, any State thereof or the District of Columbia.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Record Date</w:t>
      </w:r>
      <w:r>
        <w:rPr>
          <w:rFonts w:ascii="Times New Roman" w:hAnsi="Times New Roman"/>
          <w:sz w:val="20"/>
        </w:rPr>
        <w:t xml:space="preserve">” means, with respect to any dividend, distribution or other transaction or event in which the holders of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of Directors, by statute, by contract or otherwise). </w:t>
      </w:r>
    </w:p>
    <w:p>
      <w:pPr>
        <w:pStyle w:val="TextBody"/>
        <w:bidi w:val="0"/>
        <w:spacing w:before="240" w:after="0"/>
        <w:jc w:val="left"/>
        <w:rPr/>
      </w:pPr>
      <w:r>
        <w:rPr/>
        <w:t>“</w:t>
      </w:r>
      <w:r>
        <w:rPr>
          <w:rFonts w:ascii="Times New Roman" w:hAnsi="Times New Roman"/>
          <w:b/>
          <w:sz w:val="20"/>
        </w:rPr>
        <w:t>Redemption Date</w:t>
      </w:r>
      <w:r>
        <w:rPr>
          <w:rFonts w:ascii="Times New Roman" w:hAnsi="Times New Roman"/>
          <w:sz w:val="20"/>
        </w:rPr>
        <w:t xml:space="preserve">” shall have the meaning specified in Section 16.02(a). </w:t>
      </w:r>
    </w:p>
    <w:p>
      <w:pPr>
        <w:pStyle w:val="TextBody"/>
        <w:bidi w:val="0"/>
        <w:spacing w:before="240" w:after="0"/>
        <w:jc w:val="left"/>
        <w:rPr/>
      </w:pPr>
      <w:r>
        <w:rPr/>
        <w:t>“</w:t>
      </w:r>
      <w:r>
        <w:rPr>
          <w:rFonts w:ascii="Times New Roman" w:hAnsi="Times New Roman"/>
          <w:b/>
          <w:sz w:val="20"/>
        </w:rPr>
        <w:t>Redemption Period</w:t>
      </w:r>
      <w:r>
        <w:rPr>
          <w:rFonts w:ascii="Times New Roman" w:hAnsi="Times New Roman"/>
          <w:sz w:val="20"/>
        </w:rPr>
        <w:t xml:space="preserve">” means, with respect to any Optional Redemption, the period from, and including, the date on which the Company delivers a Notice of Redemption for such Optional Redemption until the close of business on the Scheduled Trading Day immediately preceding the applicable Redemption Date (or, if the Company defaults in the payment of the Redemption Price, until the close of business on the Scheduled Trading Day immediately preceding the date on which the Redemption Price has been paid or duly provided for). </w:t>
      </w:r>
    </w:p>
    <w:p>
      <w:pPr>
        <w:pStyle w:val="TextBody"/>
        <w:bidi w:val="0"/>
        <w:spacing w:before="240" w:after="0"/>
        <w:jc w:val="left"/>
        <w:rPr/>
      </w:pPr>
      <w:r>
        <w:rPr/>
        <w:t>“</w:t>
      </w:r>
      <w:r>
        <w:rPr>
          <w:rFonts w:ascii="Times New Roman" w:hAnsi="Times New Roman"/>
          <w:b/>
          <w:sz w:val="20"/>
        </w:rPr>
        <w:t>Redemption Price</w:t>
      </w:r>
      <w:r>
        <w:rPr>
          <w:rFonts w:ascii="Times New Roman" w:hAnsi="Times New Roman"/>
          <w:sz w:val="20"/>
        </w:rPr>
        <w:t xml:space="preserve">” means, for any Notes to be redeemed pursuant to Section 16.01, 100% of the principal amount of such Notes, </w:t>
      </w:r>
      <w:r>
        <w:rPr>
          <w:rFonts w:ascii="Times New Roman" w:hAnsi="Times New Roman"/>
          <w:i/>
          <w:sz w:val="20"/>
        </w:rPr>
        <w:t>plus</w:t>
      </w:r>
      <w:r>
        <w:rPr>
          <w:rFonts w:ascii="Times New Roman" w:hAnsi="Times New Roman"/>
          <w:sz w:val="20"/>
        </w:rPr>
        <w:t xml:space="preserve"> accrued and unpaid interest to, but excluding, the Redemption Date (unless the Redemption Date falls after a Regular Record Date but on or prior to the immediately succeeding Interest Payment Date, in which case interest accrued to the Interest Payment Date will be paid by the Company to Holders of record of such Notes as of the close of business on such Regular Record Date on, or at the Company’s election, before, such Interest Payment Date, and the Redemption Price will be equal to 100% of the principal amount of such Notes). </w:t>
      </w:r>
    </w:p>
    <w:p>
      <w:pPr>
        <w:pStyle w:val="TextBody"/>
        <w:bidi w:val="0"/>
        <w:spacing w:before="240" w:after="0"/>
        <w:jc w:val="left"/>
        <w:rPr/>
      </w:pPr>
      <w:r>
        <w:rPr/>
        <w:t>“</w:t>
      </w:r>
      <w:r>
        <w:rPr>
          <w:rFonts w:ascii="Times New Roman" w:hAnsi="Times New Roman"/>
          <w:b/>
          <w:sz w:val="20"/>
        </w:rPr>
        <w:t>Regular Record Date</w:t>
      </w:r>
      <w:r>
        <w:rPr>
          <w:rFonts w:ascii="Times New Roman" w:hAnsi="Times New Roman"/>
          <w:sz w:val="20"/>
        </w:rPr>
        <w:t xml:space="preserve">” means, with respect to any Interest Payment Date, the May 1 or November 1 (whether or not such day is a Business Day) immediately preceding the applicable May 15 or November 15 Interest Payment Date, respectively. </w:t>
      </w:r>
    </w:p>
    <w:p>
      <w:pPr>
        <w:pStyle w:val="TextBody"/>
        <w:bidi w:val="0"/>
        <w:spacing w:before="240" w:after="0"/>
        <w:jc w:val="left"/>
        <w:rPr/>
      </w:pPr>
      <w:r>
        <w:rPr/>
        <w:t>“</w:t>
      </w:r>
      <w:r>
        <w:rPr>
          <w:rFonts w:ascii="Times New Roman" w:hAnsi="Times New Roman"/>
          <w:b/>
          <w:sz w:val="20"/>
        </w:rPr>
        <w:t>Reference Property</w:t>
      </w:r>
      <w:r>
        <w:rPr>
          <w:rFonts w:ascii="Times New Roman" w:hAnsi="Times New Roman"/>
          <w:sz w:val="20"/>
        </w:rPr>
        <w:t xml:space="preserve">” shall have the meaning specified in Section 14.07(a). </w:t>
      </w:r>
    </w:p>
    <w:p>
      <w:pPr>
        <w:pStyle w:val="TextBody"/>
        <w:bidi w:val="0"/>
        <w:spacing w:before="240" w:after="0"/>
        <w:jc w:val="left"/>
        <w:rPr/>
      </w:pPr>
      <w:r>
        <w:rPr/>
        <w:t>“</w:t>
      </w:r>
      <w:r>
        <w:rPr>
          <w:rFonts w:ascii="Times New Roman" w:hAnsi="Times New Roman"/>
          <w:b/>
          <w:sz w:val="20"/>
        </w:rPr>
        <w:t>Reporting Event of Default</w:t>
      </w:r>
      <w:r>
        <w:rPr>
          <w:rFonts w:ascii="Times New Roman" w:hAnsi="Times New Roman"/>
          <w:sz w:val="20"/>
        </w:rPr>
        <w:t xml:space="preserve">” shall have the meaning specified in Section 6.03. </w:t>
      </w:r>
    </w:p>
    <w:p>
      <w:pPr>
        <w:pStyle w:val="TextBody"/>
        <w:bidi w:val="0"/>
        <w:spacing w:before="240" w:after="0"/>
        <w:jc w:val="left"/>
        <w:rPr/>
      </w:pPr>
      <w:r>
        <w:rPr/>
        <w:t>“</w:t>
      </w:r>
      <w:r>
        <w:rPr>
          <w:rFonts w:ascii="Times New Roman" w:hAnsi="Times New Roman"/>
          <w:b/>
          <w:sz w:val="20"/>
        </w:rPr>
        <w:t>Responsible Officer</w:t>
      </w:r>
      <w:r>
        <w:rPr>
          <w:rFonts w:ascii="Times New Roman" w:hAnsi="Times New Roman"/>
          <w:sz w:val="20"/>
        </w:rPr>
        <w:t xml:space="preserve">”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and who shall have direct responsibility for the administration of this Indenture, or to whom any corporate trust matter relating to this Indenture is referred because of such person’s knowledge of and familiarity with the particular subject. </w:t>
      </w:r>
    </w:p>
    <w:p>
      <w:pPr>
        <w:pStyle w:val="TextBody"/>
        <w:bidi w:val="0"/>
        <w:spacing w:before="240" w:after="0"/>
        <w:jc w:val="left"/>
        <w:rPr/>
      </w:pPr>
      <w:r>
        <w:rPr/>
        <w:t>“</w:t>
      </w:r>
      <w:r>
        <w:rPr>
          <w:rFonts w:ascii="Times New Roman" w:hAnsi="Times New Roman"/>
          <w:b/>
          <w:sz w:val="20"/>
        </w:rPr>
        <w:t>Restricted Securities</w:t>
      </w:r>
      <w:r>
        <w:rPr>
          <w:rFonts w:ascii="Times New Roman" w:hAnsi="Times New Roman"/>
          <w:sz w:val="20"/>
        </w:rPr>
        <w:t xml:space="preserve">” shall have the meaning specified in Section 2.05(c). </w:t>
      </w:r>
    </w:p>
    <w:p>
      <w:pPr>
        <w:pStyle w:val="TextBody"/>
        <w:bidi w:val="0"/>
        <w:spacing w:before="240" w:after="0"/>
        <w:jc w:val="left"/>
        <w:rPr/>
      </w:pPr>
      <w:r>
        <w:rPr/>
        <w:t>“</w:t>
      </w:r>
      <w:r>
        <w:rPr>
          <w:rFonts w:ascii="Times New Roman" w:hAnsi="Times New Roman"/>
          <w:b/>
          <w:sz w:val="20"/>
        </w:rPr>
        <w:t>Restrictive Notes Legend</w:t>
      </w:r>
      <w:r>
        <w:rPr>
          <w:rFonts w:ascii="Times New Roman" w:hAnsi="Times New Roman"/>
          <w:sz w:val="20"/>
        </w:rPr>
        <w:t xml:space="preserve">” shall have the meaning specified in Section 2.05(c). </w:t>
      </w:r>
    </w:p>
    <w:p>
      <w:pPr>
        <w:pStyle w:val="TextBody"/>
        <w:bidi w:val="0"/>
        <w:spacing w:before="240" w:after="0"/>
        <w:jc w:val="left"/>
        <w:rPr/>
      </w:pPr>
      <w:r>
        <w:rPr/>
        <w:t>“</w:t>
      </w:r>
      <w:r>
        <w:rPr>
          <w:rFonts w:ascii="Times New Roman" w:hAnsi="Times New Roman"/>
          <w:b/>
          <w:sz w:val="20"/>
        </w:rPr>
        <w:t>Rule 144</w:t>
      </w:r>
      <w:r>
        <w:rPr>
          <w:rFonts w:ascii="Times New Roman" w:hAnsi="Times New Roman"/>
          <w:sz w:val="20"/>
        </w:rPr>
        <w:t xml:space="preserve">” means Rule 144 as promulgated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Rule 144A</w:t>
      </w:r>
      <w:r>
        <w:rPr>
          <w:rFonts w:ascii="Times New Roman" w:hAnsi="Times New Roman"/>
          <w:sz w:val="20"/>
        </w:rPr>
        <w:t xml:space="preserve">” means Rule 144A as promulgated under the Securities Act. </w:t>
      </w:r>
    </w:p>
    <w:p>
      <w:pPr>
        <w:pStyle w:val="TextBody"/>
        <w:bidi w:val="0"/>
        <w:spacing w:before="240" w:after="0"/>
        <w:jc w:val="left"/>
        <w:rPr/>
      </w:pPr>
      <w:r>
        <w:rPr/>
        <w:t>“</w:t>
      </w:r>
      <w:r>
        <w:rPr>
          <w:rFonts w:ascii="Times New Roman" w:hAnsi="Times New Roman"/>
          <w:b/>
          <w:sz w:val="20"/>
        </w:rPr>
        <w:t>Scheduled Trading Day</w:t>
      </w:r>
      <w:r>
        <w:rPr>
          <w:rFonts w:ascii="Times New Roman" w:hAnsi="Times New Roman"/>
          <w:sz w:val="20"/>
        </w:rPr>
        <w:t>” means a day that is scheduled to be a Trading Day on the principal U.S. national or regional securities exchange or market on which the Common Stock is listed or admitted for trading. If the Common Stock is not so listed or admitted for trading, “</w:t>
      </w:r>
      <w:r>
        <w:rPr>
          <w:rFonts w:ascii="Times New Roman" w:hAnsi="Times New Roman"/>
          <w:b/>
          <w:sz w:val="20"/>
        </w:rPr>
        <w:t>Scheduled Trading Day</w:t>
      </w:r>
      <w:r>
        <w:rPr>
          <w:rFonts w:ascii="Times New Roman" w:hAnsi="Times New Roman"/>
          <w:sz w:val="20"/>
        </w:rPr>
        <w:t xml:space="preserve">” means a Business Day. </w:t>
      </w:r>
    </w:p>
    <w:p>
      <w:pPr>
        <w:pStyle w:val="TextBody"/>
        <w:bidi w:val="0"/>
        <w:spacing w:before="240" w:after="0"/>
        <w:jc w:val="left"/>
        <w:rPr/>
      </w:pPr>
      <w:r>
        <w:rPr/>
        <w:t>“</w:t>
      </w:r>
      <w:r>
        <w:rPr>
          <w:rFonts w:ascii="Times New Roman" w:hAnsi="Times New Roman"/>
          <w:b/>
          <w:sz w:val="20"/>
        </w:rPr>
        <w:t>Securities</w:t>
      </w:r>
      <w:r>
        <w:rPr>
          <w:rFonts w:ascii="Times New Roman" w:hAnsi="Times New Roman"/>
          <w:sz w:val="20"/>
        </w:rPr>
        <w:t xml:space="preserve">” means any stock, shares, partnership interests, voting trust certificates, certificates of interest or participation in any profit-sharing agreement or arrangement, options, warrants, bonds, debentures, notes, or other evidences of indebtedness, secured or unsecured, convertible, subordinated, certificated or uncertificated, or otherwise, or in general any instruments commonly known as “securities” or any certificates of interest, shares or participations in temporary or interim certificates for the purchase or acquisition of, or any right to subscribe to, purchase or acquire, any of the foregoing.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and the rules and regulations promulgated thereunder. </w:t>
      </w:r>
    </w:p>
    <w:p>
      <w:pPr>
        <w:pStyle w:val="TextBody"/>
        <w:bidi w:val="0"/>
        <w:spacing w:before="240" w:after="0"/>
        <w:jc w:val="left"/>
        <w:rPr/>
      </w:pPr>
      <w:r>
        <w:rPr/>
        <w:t>“</w:t>
      </w:r>
      <w:r>
        <w:rPr>
          <w:rFonts w:ascii="Times New Roman" w:hAnsi="Times New Roman"/>
          <w:b/>
          <w:sz w:val="20"/>
        </w:rPr>
        <w:t>Settlement Amount</w:t>
      </w:r>
      <w:r>
        <w:rPr>
          <w:rFonts w:ascii="Times New Roman" w:hAnsi="Times New Roman"/>
          <w:sz w:val="20"/>
        </w:rPr>
        <w:t xml:space="preserve">” has the meaning specified in Section 14.02(a)(iv). </w:t>
      </w:r>
    </w:p>
    <w:p>
      <w:pPr>
        <w:pStyle w:val="TextBody"/>
        <w:bidi w:val="0"/>
        <w:spacing w:before="240" w:after="0"/>
        <w:jc w:val="left"/>
        <w:rPr/>
      </w:pPr>
      <w:r>
        <w:rPr/>
        <w:t>“</w:t>
      </w:r>
      <w:r>
        <w:rPr>
          <w:rFonts w:ascii="Times New Roman" w:hAnsi="Times New Roman"/>
          <w:b/>
          <w:sz w:val="20"/>
        </w:rPr>
        <w:t>Settlement Method</w:t>
      </w:r>
      <w:r>
        <w:rPr>
          <w:rFonts w:ascii="Times New Roman" w:hAnsi="Times New Roman"/>
          <w:sz w:val="20"/>
        </w:rPr>
        <w:t xml:space="preserve">” means, with respect to any conversion of Notes, Physical Settlement, Cash Settlement or Combination Settlement, as elected (or deemed to have been elected) by the Company. </w:t>
      </w:r>
    </w:p>
    <w:p>
      <w:pPr>
        <w:pStyle w:val="TextBody"/>
        <w:bidi w:val="0"/>
        <w:spacing w:before="240" w:after="0"/>
        <w:jc w:val="left"/>
        <w:rPr/>
      </w:pPr>
      <w:r>
        <w:rPr/>
        <w:t>“</w:t>
      </w:r>
      <w:r>
        <w:rPr>
          <w:rFonts w:ascii="Times New Roman" w:hAnsi="Times New Roman"/>
          <w:b/>
          <w:sz w:val="20"/>
        </w:rPr>
        <w:t>Settlement Notice</w:t>
      </w:r>
      <w:r>
        <w:rPr>
          <w:rFonts w:ascii="Times New Roman" w:hAnsi="Times New Roman"/>
          <w:sz w:val="20"/>
        </w:rPr>
        <w:t xml:space="preserve">” has the meaning specified in Section 14.02(a)(iii). </w:t>
      </w:r>
    </w:p>
    <w:p>
      <w:pPr>
        <w:pStyle w:val="TextBody"/>
        <w:bidi w:val="0"/>
        <w:spacing w:before="240" w:after="0"/>
        <w:jc w:val="left"/>
        <w:rPr/>
      </w:pPr>
      <w:r>
        <w:rPr/>
        <w:t>“</w:t>
      </w:r>
      <w:r>
        <w:rPr>
          <w:rFonts w:ascii="Times New Roman" w:hAnsi="Times New Roman"/>
          <w:b/>
          <w:sz w:val="20"/>
        </w:rPr>
        <w:t>Share Exchange Event</w:t>
      </w:r>
      <w:r>
        <w:rPr>
          <w:rFonts w:ascii="Times New Roman" w:hAnsi="Times New Roman"/>
          <w:sz w:val="20"/>
        </w:rPr>
        <w:t xml:space="preserve">” shall have the meaning specified in Section 14.07(a). </w:t>
      </w:r>
    </w:p>
    <w:p>
      <w:pPr>
        <w:pStyle w:val="TextBody"/>
        <w:bidi w:val="0"/>
        <w:spacing w:before="240" w:after="0"/>
        <w:jc w:val="left"/>
        <w:rPr/>
      </w:pPr>
      <w:r>
        <w:rPr/>
        <w:t>“</w:t>
      </w:r>
      <w:r>
        <w:rPr>
          <w:rFonts w:ascii="Times New Roman" w:hAnsi="Times New Roman"/>
          <w:b/>
          <w:sz w:val="20"/>
        </w:rPr>
        <w:t>Share Interest</w:t>
      </w:r>
      <w:r>
        <w:rPr>
          <w:rFonts w:ascii="Times New Roman" w:hAnsi="Times New Roman"/>
          <w:sz w:val="20"/>
        </w:rPr>
        <w:t xml:space="preserve">” shall have the meaning specified in Section 2.03(d). </w:t>
      </w:r>
    </w:p>
    <w:p>
      <w:pPr>
        <w:pStyle w:val="TextBody"/>
        <w:bidi w:val="0"/>
        <w:spacing w:before="240" w:after="0"/>
        <w:jc w:val="left"/>
        <w:rPr/>
      </w:pPr>
      <w:r>
        <w:rPr/>
        <w:t>“</w:t>
      </w:r>
      <w:r>
        <w:rPr>
          <w:rFonts w:ascii="Times New Roman" w:hAnsi="Times New Roman"/>
          <w:b/>
          <w:sz w:val="20"/>
        </w:rPr>
        <w:t>Share Interest Condition</w:t>
      </w:r>
      <w:r>
        <w:rPr>
          <w:rFonts w:ascii="Times New Roman" w:hAnsi="Times New Roman"/>
          <w:sz w:val="20"/>
        </w:rPr>
        <w:t xml:space="preserve">” shall have the meaning specified in Section 2.03(d). </w:t>
      </w:r>
    </w:p>
    <w:p>
      <w:pPr>
        <w:pStyle w:val="TextBody"/>
        <w:bidi w:val="0"/>
        <w:spacing w:before="240" w:after="0"/>
        <w:jc w:val="left"/>
        <w:rPr/>
      </w:pPr>
      <w:r>
        <w:rPr/>
        <w:t>“</w:t>
      </w:r>
      <w:r>
        <w:rPr>
          <w:rFonts w:ascii="Times New Roman" w:hAnsi="Times New Roman"/>
          <w:b/>
          <w:sz w:val="20"/>
        </w:rPr>
        <w:t>Significant Subsidiary</w:t>
      </w:r>
      <w:r>
        <w:rPr>
          <w:rFonts w:ascii="Times New Roman" w:hAnsi="Times New Roman"/>
          <w:sz w:val="20"/>
        </w:rPr>
        <w:t xml:space="preserve">” means a Subsidiary of the Company that is a “significant subsidiary” as defined in Article 1, Rule 1-02(w)(1) of Regulation S-X promulgated by the Commission (or any successor rule); </w:t>
      </w:r>
      <w:r>
        <w:rPr>
          <w:rFonts w:ascii="Times New Roman" w:hAnsi="Times New Roman"/>
          <w:i/>
          <w:sz w:val="20"/>
        </w:rPr>
        <w:t>provided</w:t>
      </w:r>
      <w:r>
        <w:rPr>
          <w:rFonts w:ascii="Times New Roman" w:hAnsi="Times New Roman"/>
          <w:sz w:val="20"/>
        </w:rPr>
        <w:t xml:space="preserve"> that, if and to the extent paragraph (w)(1)(iii)(A)(2) does not apply to the determination of whether the income test in paragraph (w)(1)(iii) is met, in the case of a Subsidiary that meets the criteria of clause (iii) of the definition thereof but not clause (i) or (ii) thereof, in each case as such rule is in effect on the date of this Indenture, such Subsidiary shall not be deemed to be a Significant Subsidiary unless the Subsidiary’s income or loss from continuing operations before income taxes if and to the extent paragraph (w)(1)(iii)(A)(2) does not apply to the determination of whether the income test in paragraph (w)(1)(iii) is met (after intercompany eliminations) for the last completed fiscal year prior to the date of such determination exceeds $10,000,000. For the avoidance of doubt, for purposes of this definition, to the extent any such Subsidiary would not be deemed to be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significant subsidiary” under the relevant definition set forth in Article 1, Rule 1-02(w)(1) of Regulation S-X (or any successor rule) as in effect on the relevant date of determination, such Subsidiary shall not be deemed to be a Significant Subsidiary under this Indenture irrespective of whether such Subsidiary would otherwise be deemed to be a Significant Subsidiary after giving effect to the </w:t>
      </w:r>
      <w:r>
        <w:rPr>
          <w:rFonts w:ascii="Times New Roman" w:hAnsi="Times New Roman"/>
          <w:i/>
          <w:sz w:val="20"/>
        </w:rPr>
        <w:t>proviso</w:t>
      </w:r>
      <w:r>
        <w:rPr>
          <w:rFonts w:ascii="Times New Roman" w:hAnsi="Times New Roman"/>
          <w:sz w:val="20"/>
        </w:rPr>
        <w:t xml:space="preserve"> in the immediately preceding sentence. </w:t>
      </w:r>
    </w:p>
    <w:p>
      <w:pPr>
        <w:pStyle w:val="TextBody"/>
        <w:bidi w:val="0"/>
        <w:spacing w:before="240" w:after="0"/>
        <w:jc w:val="left"/>
        <w:rPr/>
      </w:pPr>
      <w:r>
        <w:rPr/>
        <w:t>“</w:t>
      </w:r>
      <w:r>
        <w:rPr>
          <w:rFonts w:ascii="Times New Roman" w:hAnsi="Times New Roman"/>
          <w:b/>
          <w:sz w:val="20"/>
        </w:rPr>
        <w:t>Specified Dollar Amount</w:t>
      </w:r>
      <w:r>
        <w:rPr>
          <w:rFonts w:ascii="Times New Roman" w:hAnsi="Times New Roman"/>
          <w:sz w:val="20"/>
        </w:rPr>
        <w:t xml:space="preserve">” means the maximum cash amount per $1,000 principal amount of Notes to be received upon conversion as specified in the Settlement Notice (or deemed specified as provided in Section 14.02(a)(iii)) related to any converted Notes. </w:t>
      </w:r>
    </w:p>
    <w:p>
      <w:pPr>
        <w:pStyle w:val="TextBody"/>
        <w:bidi w:val="0"/>
        <w:spacing w:before="240" w:after="0"/>
        <w:jc w:val="left"/>
        <w:rPr/>
      </w:pPr>
      <w:r>
        <w:rPr/>
        <w:t>“</w:t>
      </w:r>
      <w:r>
        <w:rPr>
          <w:rFonts w:ascii="Times New Roman" w:hAnsi="Times New Roman"/>
          <w:b/>
          <w:sz w:val="20"/>
        </w:rPr>
        <w:t>Spin-Off</w:t>
      </w:r>
      <w:r>
        <w:rPr>
          <w:rFonts w:ascii="Times New Roman" w:hAnsi="Times New Roman"/>
          <w:sz w:val="20"/>
        </w:rPr>
        <w:t xml:space="preserve">” shall have the meaning specified in Section 14.04(c). </w:t>
      </w:r>
    </w:p>
    <w:p>
      <w:pPr>
        <w:pStyle w:val="TextBody"/>
        <w:bidi w:val="0"/>
        <w:spacing w:before="240" w:after="0"/>
        <w:jc w:val="left"/>
        <w:rPr/>
      </w:pPr>
      <w:r>
        <w:rPr/>
        <w:t>“</w:t>
      </w:r>
      <w:r>
        <w:rPr>
          <w:rFonts w:ascii="Times New Roman" w:hAnsi="Times New Roman"/>
          <w:b/>
          <w:sz w:val="20"/>
        </w:rPr>
        <w:t>Stock Price</w:t>
      </w:r>
      <w:r>
        <w:rPr>
          <w:rFonts w:ascii="Times New Roman" w:hAnsi="Times New Roman"/>
          <w:sz w:val="20"/>
        </w:rPr>
        <w:t xml:space="preserve">” shall have the meaning specified in Section 14.03(c).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 </w:t>
      </w:r>
    </w:p>
    <w:p>
      <w:pPr>
        <w:pStyle w:val="TextBody"/>
        <w:bidi w:val="0"/>
        <w:spacing w:before="240" w:after="0"/>
        <w:jc w:val="left"/>
        <w:rPr/>
      </w:pPr>
      <w:r>
        <w:rPr/>
        <w:t>“</w:t>
      </w:r>
      <w:r>
        <w:rPr>
          <w:rFonts w:ascii="Times New Roman" w:hAnsi="Times New Roman"/>
          <w:b/>
          <w:sz w:val="20"/>
        </w:rPr>
        <w:t>Subsidiary Guarantor</w:t>
      </w:r>
      <w:r>
        <w:rPr>
          <w:rFonts w:ascii="Times New Roman" w:hAnsi="Times New Roman"/>
          <w:sz w:val="20"/>
        </w:rPr>
        <w:t xml:space="preserve">” means any Subsidiary of the Company that executes and delivers a counterpart of the Note Guarantee on the Date hereof or from time to time thereafter pursuant to Section 4.11. </w:t>
      </w:r>
    </w:p>
    <w:p>
      <w:pPr>
        <w:pStyle w:val="TextBody"/>
        <w:bidi w:val="0"/>
        <w:spacing w:before="240" w:after="0"/>
        <w:jc w:val="left"/>
        <w:rPr/>
      </w:pPr>
      <w:r>
        <w:rPr/>
        <w:t>“</w:t>
      </w:r>
      <w:r>
        <w:rPr>
          <w:rFonts w:ascii="Times New Roman" w:hAnsi="Times New Roman"/>
          <w:b/>
          <w:sz w:val="20"/>
        </w:rPr>
        <w:t>Successor Entity</w:t>
      </w:r>
      <w:r>
        <w:rPr>
          <w:rFonts w:ascii="Times New Roman" w:hAnsi="Times New Roman"/>
          <w:sz w:val="20"/>
        </w:rPr>
        <w:t xml:space="preserve">” shall have the meaning specified in Section 11.01(a). </w:t>
      </w:r>
    </w:p>
    <w:p>
      <w:pPr>
        <w:pStyle w:val="TextBody"/>
        <w:bidi w:val="0"/>
        <w:spacing w:before="240" w:after="0"/>
        <w:jc w:val="left"/>
        <w:rPr/>
      </w:pPr>
      <w:r>
        <w:rPr/>
        <w:t>“</w:t>
      </w:r>
      <w:r>
        <w:rPr>
          <w:rFonts w:ascii="Times New Roman" w:hAnsi="Times New Roman"/>
          <w:b/>
          <w:sz w:val="20"/>
        </w:rPr>
        <w:t>Trading Day</w:t>
      </w:r>
      <w:r>
        <w:rPr>
          <w:rFonts w:ascii="Times New Roman" w:hAnsi="Times New Roman"/>
          <w:sz w:val="20"/>
        </w:rPr>
        <w:t xml:space="preserve">” means, except for determining amounts due upon conversion, a day on which (i) trading in the Common Stock (or other security for which a closing sale price must be determined) generally occurs on The New York Stock Exchange or, if the Common Stock (or such other security) is not then listed on The New York Stock Exchange,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Last Reported Sale Price for the Common Stock (or closing sale price for such other security) is available on such securities exchange or market; </w:t>
      </w:r>
      <w:r>
        <w:rPr>
          <w:rFonts w:ascii="Times New Roman" w:hAnsi="Times New Roman"/>
          <w:i/>
          <w:sz w:val="20"/>
        </w:rPr>
        <w:t>provided</w:t>
      </w:r>
      <w:r>
        <w:rPr>
          <w:rFonts w:ascii="Times New Roman" w:hAnsi="Times New Roman"/>
          <w:sz w:val="20"/>
        </w:rPr>
        <w:t xml:space="preserve"> that if the Common Stock (or such other security) is not so listed or traded, “</w:t>
      </w:r>
      <w:r>
        <w:rPr>
          <w:rFonts w:ascii="Times New Roman" w:hAnsi="Times New Roman"/>
          <w:b/>
          <w:sz w:val="20"/>
        </w:rPr>
        <w:t>Trading Day</w:t>
      </w:r>
      <w:r>
        <w:rPr>
          <w:rFonts w:ascii="Times New Roman" w:hAnsi="Times New Roman"/>
          <w:sz w:val="20"/>
        </w:rPr>
        <w:t xml:space="preserve">” means a Business Day;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for purposes of determining amounts due upon conversion only, “</w:t>
      </w:r>
      <w:r>
        <w:rPr>
          <w:rFonts w:ascii="Times New Roman" w:hAnsi="Times New Roman"/>
          <w:b/>
          <w:sz w:val="20"/>
        </w:rPr>
        <w:t>Trading Day</w:t>
      </w:r>
      <w:r>
        <w:rPr>
          <w:rFonts w:ascii="Times New Roman" w:hAnsi="Times New Roman"/>
          <w:sz w:val="20"/>
        </w:rPr>
        <w:t>” means a day on which (x) there is no Market Disruption Event and (y) trading in the Common Stock generally occurs on The New York Stock Exchange or, if the Common Stock is not then listed on The New York Stock Exchange,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Times New Roman" w:hAnsi="Times New Roman"/>
          <w:b/>
          <w:sz w:val="20"/>
        </w:rPr>
        <w:t>Trading Day</w:t>
      </w:r>
      <w:r>
        <w:rPr>
          <w:rFonts w:ascii="Times New Roman" w:hAnsi="Times New Roman"/>
          <w:sz w:val="20"/>
        </w:rPr>
        <w:t xml:space="preserve">” means a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transfer</w:t>
      </w:r>
      <w:r>
        <w:rPr>
          <w:rFonts w:ascii="Times New Roman" w:hAnsi="Times New Roman"/>
          <w:sz w:val="20"/>
        </w:rPr>
        <w:t xml:space="preserve">” shall have the meaning specified in Section 2.05(c). </w:t>
      </w:r>
    </w:p>
    <w:p>
      <w:pPr>
        <w:pStyle w:val="TextBody"/>
        <w:bidi w:val="0"/>
        <w:spacing w:before="240" w:after="0"/>
        <w:jc w:val="left"/>
        <w:rPr/>
      </w:pPr>
      <w:r>
        <w:rPr/>
        <w:t>“</w:t>
      </w:r>
      <w:r>
        <w:rPr>
          <w:rFonts w:ascii="Times New Roman" w:hAnsi="Times New Roman"/>
          <w:b/>
          <w:sz w:val="20"/>
        </w:rPr>
        <w:t>Trigger Event</w:t>
      </w:r>
      <w:r>
        <w:rPr>
          <w:rFonts w:ascii="Times New Roman" w:hAnsi="Times New Roman"/>
          <w:sz w:val="20"/>
        </w:rPr>
        <w:t xml:space="preserve">” shall have the meaning specified in Section 14.04(c). </w:t>
      </w:r>
    </w:p>
    <w:p>
      <w:pPr>
        <w:pStyle w:val="TextBody"/>
        <w:bidi w:val="0"/>
        <w:spacing w:before="240" w:after="0"/>
        <w:jc w:val="left"/>
        <w:rPr/>
      </w:pPr>
      <w:r>
        <w:rPr/>
        <w:t>“</w:t>
      </w:r>
      <w:r>
        <w:rPr>
          <w:rFonts w:ascii="Times New Roman" w:hAnsi="Times New Roman"/>
          <w:b/>
          <w:sz w:val="20"/>
        </w:rPr>
        <w:t>Trust Indenture Act</w:t>
      </w:r>
      <w:r>
        <w:rPr>
          <w:rFonts w:ascii="Times New Roman" w:hAnsi="Times New Roman"/>
          <w:sz w:val="20"/>
        </w:rPr>
        <w:t xml:space="preserve">” means the Trust Indenture Act of 1939, as amended, as it was in force at the date of execution of this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event the Trust Indenture Act of 1939 is amended after the date hereof, the term “Trust Indenture Act” shall mean, to the extent required by such amendment, the Trust Indenture Act of 1939, as so amended. </w:t>
      </w:r>
    </w:p>
    <w:p>
      <w:pPr>
        <w:pStyle w:val="TextBody"/>
        <w:bidi w:val="0"/>
        <w:spacing w:before="240" w:after="0"/>
        <w:jc w:val="left"/>
        <w:rPr/>
      </w:pPr>
      <w:r>
        <w:rPr/>
        <w:t>“</w:t>
      </w:r>
      <w:r>
        <w:rPr>
          <w:rFonts w:ascii="Times New Roman" w:hAnsi="Times New Roman"/>
          <w:b/>
          <w:sz w:val="20"/>
        </w:rPr>
        <w:t>Trustee</w:t>
      </w:r>
      <w:r>
        <w:rPr>
          <w:rFonts w:ascii="Times New Roman" w:hAnsi="Times New Roman"/>
          <w:sz w:val="20"/>
        </w:rPr>
        <w:t>” means the Person named as the “</w:t>
      </w:r>
      <w:r>
        <w:rPr>
          <w:rFonts w:ascii="Times New Roman" w:hAnsi="Times New Roman"/>
          <w:b/>
          <w:sz w:val="20"/>
        </w:rPr>
        <w:t>Trustee</w:t>
      </w:r>
      <w:r>
        <w:rPr>
          <w:rFonts w:ascii="Times New Roman" w:hAnsi="Times New Roman"/>
          <w:sz w:val="20"/>
        </w:rPr>
        <w:t>” in the first paragraph of this Indenture until a successor trustee shall have become such pursuant to the applicable provisions of this Indenture, and thereafter “</w:t>
      </w:r>
      <w:r>
        <w:rPr>
          <w:rFonts w:ascii="Times New Roman" w:hAnsi="Times New Roman"/>
          <w:b/>
          <w:sz w:val="20"/>
        </w:rPr>
        <w:t>Trustee</w:t>
      </w:r>
      <w:r>
        <w:rPr>
          <w:rFonts w:ascii="Times New Roman" w:hAnsi="Times New Roman"/>
          <w:sz w:val="20"/>
        </w:rPr>
        <w:t xml:space="preserve">” shall mean or include each Person who is then a Trustee hereunder. </w:t>
      </w:r>
    </w:p>
    <w:p>
      <w:pPr>
        <w:pStyle w:val="TextBody"/>
        <w:bidi w:val="0"/>
        <w:spacing w:before="240" w:after="0"/>
        <w:jc w:val="left"/>
        <w:rPr/>
      </w:pPr>
      <w:r>
        <w:rPr/>
        <w:t>“</w:t>
      </w:r>
      <w:r>
        <w:rPr>
          <w:rFonts w:ascii="Times New Roman" w:hAnsi="Times New Roman"/>
          <w:b/>
          <w:sz w:val="20"/>
        </w:rPr>
        <w:t>unit of Reference Property</w:t>
      </w:r>
      <w:r>
        <w:rPr>
          <w:rFonts w:ascii="Times New Roman" w:hAnsi="Times New Roman"/>
          <w:sz w:val="20"/>
        </w:rPr>
        <w:t xml:space="preserve">” shall have the meaning specified in Section 14.07(a). </w:t>
      </w:r>
    </w:p>
    <w:p>
      <w:pPr>
        <w:pStyle w:val="TextBody"/>
        <w:bidi w:val="0"/>
        <w:spacing w:before="240" w:after="0"/>
        <w:jc w:val="left"/>
        <w:rPr/>
      </w:pPr>
      <w:r>
        <w:rPr/>
        <w:t>“</w:t>
      </w:r>
      <w:r>
        <w:rPr>
          <w:rFonts w:ascii="Times New Roman" w:hAnsi="Times New Roman"/>
          <w:b/>
          <w:sz w:val="20"/>
        </w:rPr>
        <w:t>Valuation Period</w:t>
      </w:r>
      <w:r>
        <w:rPr>
          <w:rFonts w:ascii="Times New Roman" w:hAnsi="Times New Roman"/>
          <w:sz w:val="20"/>
        </w:rPr>
        <w:t xml:space="preserve">” shall have the meaning specified in Section 14.04(c). </w:t>
      </w:r>
    </w:p>
    <w:p>
      <w:pPr>
        <w:pStyle w:val="TextBody"/>
        <w:bidi w:val="0"/>
        <w:spacing w:before="240" w:after="0"/>
        <w:jc w:val="left"/>
        <w:rPr/>
      </w:pPr>
      <w:r>
        <w:rPr/>
        <w:t>“</w:t>
      </w:r>
      <w:r>
        <w:rPr>
          <w:rFonts w:ascii="Times New Roman" w:hAnsi="Times New Roman"/>
          <w:b/>
          <w:sz w:val="20"/>
        </w:rPr>
        <w:t>Wholly Owned Subsidiary</w:t>
      </w:r>
      <w:r>
        <w:rPr>
          <w:rFonts w:ascii="Times New Roman" w:hAnsi="Times New Roman"/>
          <w:sz w:val="20"/>
        </w:rPr>
        <w:t xml:space="preserve">” means, with respect to any Person, any Subsidiary of such Person, except that, solely for purposes of this definition, the reference to “more than 50%” in the definition of “Subsidiary” shall be deemed replaced by a reference to “100%,” the calculation of which shall exclude nominal amounts of the voting power of shares of Capital Stock or other interests in the relevant Subsidiary not held by such person to the extent required to satisfy local minority interest requirements outside of the United States. </w:t>
      </w:r>
    </w:p>
    <w:p>
      <w:pPr>
        <w:pStyle w:val="TextBody"/>
        <w:bidi w:val="0"/>
        <w:spacing w:before="240" w:after="0"/>
        <w:jc w:val="left"/>
        <w:rPr>
          <w:rFonts w:ascii="Times New Roman" w:hAnsi="Times New Roman"/>
          <w:sz w:val="20"/>
        </w:rPr>
      </w:pPr>
      <w:r>
        <w:rPr>
          <w:rFonts w:ascii="Times New Roman" w:hAnsi="Times New Roman"/>
          <w:sz w:val="20"/>
        </w:rPr>
        <w:t>Section 1.02</w:t>
      </w:r>
      <w:r>
        <w:rPr>
          <w:rFonts w:ascii="Times New Roman" w:hAnsi="Times New Roman"/>
          <w:i/>
          <w:sz w:val="20"/>
        </w:rPr>
        <w:t>. References to Interest.</w:t>
      </w:r>
      <w:r>
        <w:rPr>
          <w:rFonts w:ascii="Times New Roman" w:hAnsi="Times New Roman"/>
          <w:sz w:val="20"/>
        </w:rPr>
        <w:t xml:space="preserve"> Unless the context otherwise requires, any reference to interest on, or in respect of, any Note in this Indenture shall be deemed to include Additional Interest if, in such context, Additional Interest is, was or would be payable pursuant to any of Section 4.06(d) and Section 6.03. Unless the context otherwise requires, any express mention of Additional Interest in any provision hereof shall not be construed as excluding Additional Interest in those provisions hereof where such express mention is not made. </w:t>
      </w:r>
    </w:p>
    <w:p>
      <w:pPr>
        <w:pStyle w:val="TextBody"/>
        <w:bidi w:val="0"/>
        <w:spacing w:before="240" w:after="0"/>
        <w:jc w:val="center"/>
        <w:rPr>
          <w:rFonts w:ascii="Times New Roman" w:hAnsi="Times New Roman"/>
          <w:sz w:val="20"/>
        </w:rPr>
      </w:pPr>
      <w:r>
        <w:rPr>
          <w:rFonts w:ascii="Times New Roman" w:hAnsi="Times New Roman"/>
          <w:sz w:val="20"/>
        </w:rPr>
        <w:t xml:space="preserve">ARTICLE 2 </w:t>
      </w:r>
    </w:p>
    <w:p>
      <w:pPr>
        <w:pStyle w:val="TextBody"/>
        <w:bidi w:val="0"/>
        <w:spacing w:before="0" w:after="0"/>
        <w:jc w:val="center"/>
        <w:rPr>
          <w:rFonts w:ascii="Times New Roman" w:hAnsi="Times New Roman"/>
          <w:sz w:val="20"/>
        </w:rPr>
      </w:pPr>
      <w:r>
        <w:rPr>
          <w:rFonts w:ascii="Times New Roman" w:hAnsi="Times New Roman"/>
          <w:sz w:val="20"/>
        </w:rPr>
        <w:t xml:space="preserve">ISSUE, DESCRIPTION, EXECUTION, REGISTRATION AND EXCHANGE OF NOTES </w:t>
      </w:r>
    </w:p>
    <w:p>
      <w:pPr>
        <w:pStyle w:val="TextBody"/>
        <w:bidi w:val="0"/>
        <w:spacing w:before="240" w:after="0"/>
        <w:jc w:val="left"/>
        <w:rPr>
          <w:rFonts w:ascii="Times New Roman" w:hAnsi="Times New Roman"/>
          <w:sz w:val="20"/>
        </w:rPr>
      </w:pPr>
      <w:r>
        <w:rPr>
          <w:rFonts w:ascii="Times New Roman" w:hAnsi="Times New Roman"/>
          <w:sz w:val="20"/>
        </w:rPr>
        <w:t>Section 2.01</w:t>
      </w:r>
      <w:r>
        <w:rPr>
          <w:rFonts w:ascii="Times New Roman" w:hAnsi="Times New Roman"/>
          <w:i/>
          <w:sz w:val="20"/>
        </w:rPr>
        <w:t>. Designation and Amount</w:t>
      </w:r>
      <w:r>
        <w:rPr>
          <w:rFonts w:ascii="Times New Roman" w:hAnsi="Times New Roman"/>
          <w:sz w:val="20"/>
        </w:rPr>
        <w:t xml:space="preserve">. The Notes shall be designated as the “4.375% Convertible Senior Notes due 2032.” The aggregate principal amount of Notes that may be authenticated and delivered under this Indenture is initially limited to $100,000,000, subject to Section 2.10 and except for Notes authenticated and delivered upon registration or transfer of, or in exchange for, or in lieu of other Notes to the extent expressly permitted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2.02</w:t>
      </w:r>
      <w:r>
        <w:rPr>
          <w:rFonts w:ascii="Times New Roman" w:hAnsi="Times New Roman"/>
          <w:i/>
          <w:sz w:val="20"/>
        </w:rPr>
        <w:t>. Form of Notes</w:t>
      </w:r>
      <w:r>
        <w:rPr>
          <w:rFonts w:ascii="Times New Roman" w:hAnsi="Times New Roman"/>
          <w:sz w:val="20"/>
        </w:rPr>
        <w:t xml:space="preserve">.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the Guarantors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 </w:t>
      </w:r>
    </w:p>
    <w:p>
      <w:pPr>
        <w:pStyle w:val="TextBody"/>
        <w:bidi w:val="0"/>
        <w:spacing w:before="240" w:after="0"/>
        <w:jc w:val="left"/>
        <w:rPr>
          <w:rFonts w:ascii="Times New Roman" w:hAnsi="Times New Roman"/>
          <w:sz w:val="20"/>
        </w:rPr>
      </w:pPr>
      <w:r>
        <w:rPr>
          <w:rFonts w:ascii="Times New Roman" w:hAnsi="Times New Roman"/>
          <w:sz w:val="20"/>
        </w:rPr>
        <w:t xml:space="preserve">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 </w:t>
      </w:r>
    </w:p>
    <w:p>
      <w:pPr>
        <w:pStyle w:val="TextBody"/>
        <w:bidi w:val="0"/>
        <w:spacing w:before="240" w:after="0"/>
        <w:jc w:val="left"/>
        <w:rPr>
          <w:rFonts w:ascii="Times New Roman" w:hAnsi="Times New Roman"/>
          <w:sz w:val="20"/>
        </w:rPr>
      </w:pPr>
      <w:r>
        <w:rPr>
          <w:rFonts w:ascii="Times New Roman" w:hAnsi="Times New Roman"/>
          <w:sz w:val="20"/>
        </w:rPr>
        <w:t xml:space="preserve">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Repurchase Price, if applicable) of, and any accrued and unpaid interest on, a Global Note shall be made to the Holder of such Note on the date of payment, unless a record date or other means of determining Holders eligible to receive payment is provided for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2.03</w:t>
      </w:r>
      <w:r>
        <w:rPr>
          <w:rFonts w:ascii="Times New Roman" w:hAnsi="Times New Roman"/>
          <w:i/>
          <w:sz w:val="20"/>
        </w:rPr>
        <w:t>. Date and Denomination of Notes; Payments of Interest and Defaulted Amounts.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Notes shall be issuable in registered form without coupons in minimum denominations of $1,000 principal amount and integral multiples thereof.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 </w:t>
      </w:r>
    </w:p>
    <w:p>
      <w:pPr>
        <w:pStyle w:val="TextBody"/>
        <w:bidi w:val="0"/>
        <w:spacing w:before="240" w:after="0"/>
        <w:jc w:val="left"/>
        <w:rPr>
          <w:rFonts w:ascii="Times New Roman" w:hAnsi="Times New Roman"/>
          <w:sz w:val="20"/>
        </w:rPr>
      </w:pPr>
      <w:r>
        <w:rPr>
          <w:rFonts w:ascii="Times New Roman" w:hAnsi="Times New Roman"/>
          <w:sz w:val="20"/>
        </w:rPr>
        <w:t xml:space="preserve">(b) The Person in whose name any Note (or its Predecessor Note) is registered on the Note Register at the close of business on any Regular Record Date with respect to any Interest Payment Date shall be entitled to receive the interest payable on such Interest Payment Date. The principal amount of any Note (x) in the case of any Physical Note, shall be payable at the office or agency of the Company maintained by the Company for such purposes in the continental United States of America, which shall initially be the Corporate Trust Office and (y) in the case of any Global Note, shall be payable by wire transfer of immediately available funds to the account of the Depositary or its nominee. The Company shall pay Share Interest in book-entry form on any Physical Notes (A) through a direct withdrawal at custodian transfer, or otherwise using the direct registration system of the Depositary Trust Company to a brokerage account provided by such a Holder upon written application by such a Holder to the Company not later than the relevant Regular Record Date, upon having provided the Company with the requisite information necessary to make such transfer, which application shall remain in effect until the Holder notifies, in writing, the Company to the contrary. If, after providing notice that it will pay an interest payment by Share Interest, the Company becomes unable to deliver such shares of Common Stock, the Company shall pay such interest as Cash Interest. The Company shall pay, or cause the Paying Agent to pay, on any Global Note by transfer through the Depositary to the account of the Depositary or its nominee. The Company shall pay, or cause the Paying Agent to pay, Cash Interest (i) on any Physical Notes (A) to Holders holding Physical Notes having an aggregate principal amount of $5,000,000 or less, by check mailed to the Holders at their address as it appears in the Note Register and (B) to Holders holding Physical Notes having an aggregate principal amount of more than $5,000,000, either by check mailed to each such Holder or, upon written application by such a Holder to the Note Registrar not later than the relevant Regular Record Date, by wire transfer in immediately available funds to that Holder’s account within the United States if such Holder has provided the Company, the Trustee or the Paying Agent (if other than the Trustee) with the requisite information necessary to make such wire transfer, which application shall remain in effect until the Holder notifies, in writing, the Note Registrar to the contrary or (ii) on any Global Note by wire transfer of immediately available funds to the account of the Depositary or its nominee. </w:t>
      </w:r>
    </w:p>
    <w:p>
      <w:pPr>
        <w:pStyle w:val="TextBody"/>
        <w:bidi w:val="0"/>
        <w:spacing w:before="240" w:after="0"/>
        <w:jc w:val="left"/>
        <w:rPr>
          <w:rFonts w:ascii="Times New Roman" w:hAnsi="Times New Roman"/>
          <w:sz w:val="20"/>
        </w:rPr>
      </w:pPr>
      <w:r>
        <w:rPr>
          <w:rFonts w:ascii="Times New Roman" w:hAnsi="Times New Roman"/>
          <w:sz w:val="20"/>
        </w:rPr>
        <w:t xml:space="preserve">(c) Any Defaulted Amounts shall forthwith cease to be payable to the Holder on the relevant payment date but shall accrue interest per annum at the rate borne by the Notes, subject to the enforceability thereof under applicable law, from, and including, such relevant payment date, and such Defaulted Amounts together with such interest thereon shall be paid by the Company, at its election in each case, as provided in clause (i) or (ii)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in writing of such special record date and the Trustee, in the name and at the expense of the Company, shall cause notice of the proposed payment of such Defaulted Amounts and the special record date therefor to be delivered to each Holder not less than 10 days prior to such special record date; provided that the Trustee has received such notice at least three Business Days prior to the date such notice is to be sent (or such shorter period as shall be acceptable to the Trustee).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written notice given by the Company to the Trustee of the proposed payment pursuant to this clause, such manner of payment shall be deemed practicable by the Trustee.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shall not at any time be under any duty or responsibility to any Holder of Notes to determine the Defaulted Amounts, or with respect to the nature, extent, or calculation of the amount of Defaulted Amounts owed, or with respect to the method employed in such calculation of the Defaulted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The Company may elect, subject to the Share Interest Condition, to pay interest on the Notes on any Interest Payment Date (i) by paying an amount in cash (“</w:t>
      </w:r>
      <w:r>
        <w:rPr>
          <w:rFonts w:ascii="Times New Roman" w:hAnsi="Times New Roman"/>
          <w:b/>
          <w:sz w:val="20"/>
        </w:rPr>
        <w:t>Cash Interest</w:t>
      </w:r>
      <w:r>
        <w:rPr>
          <w:rFonts w:ascii="Times New Roman" w:hAnsi="Times New Roman"/>
          <w:sz w:val="20"/>
        </w:rPr>
        <w:t>”) on such Interest Payment Date equal to all interest accrued from, and including, the immediately preceding Interest Payment Date (or if there is no immediately preceding Interest Payment Date, from, and including, the issue date of such Notes or such other date from which such Note bears interest as stated on such Note) on the principal amount as of the immediately preceding Interest Payment Date (or if there is no immediately preceding Interest Payment Date, on the Initial Principal Amount (the “</w:t>
      </w:r>
      <w:r>
        <w:rPr>
          <w:rFonts w:ascii="Times New Roman" w:hAnsi="Times New Roman"/>
          <w:b/>
          <w:sz w:val="20"/>
        </w:rPr>
        <w:t>Interest Amount</w:t>
      </w:r>
      <w:r>
        <w:rPr>
          <w:rFonts w:ascii="Times New Roman" w:hAnsi="Times New Roman"/>
          <w:sz w:val="20"/>
        </w:rPr>
        <w:t>”) and (ii) by the issuance of a number of shares of Common Stock (“</w:t>
      </w:r>
      <w:r>
        <w:rPr>
          <w:rFonts w:ascii="Times New Roman" w:hAnsi="Times New Roman"/>
          <w:b/>
          <w:sz w:val="20"/>
        </w:rPr>
        <w:t>Share Interest</w:t>
      </w:r>
      <w:r>
        <w:rPr>
          <w:rFonts w:ascii="Times New Roman" w:hAnsi="Times New Roman"/>
          <w:sz w:val="20"/>
        </w:rPr>
        <w:t>”) equal to the Interest Amount based on the Daily VWAP for the eight (8) Trading Days prior to the date two Trading Days prior to the relevant Interest Payment Date or (iii) any combination of Cash Interest and Share Interest (calculated as provided in clause (ii)). The Company shall not issue any fractional share of Common Stock upon the payment of Share Interest and shall instead pay cash in lieu of delivering any fractional share of Common Stock issuable upon conversion based on the Daily VWAP for the relevant Interest Payment Date. The Person in whose name the shares of Common Stock shall be issuable upon the payment of Share Interest shall be treated as a stockholder of record as of the close of business on the relevant Interest Payment Date. The Company may only elect the method of paying interest on an Interest Payment Date if the shares of Common Stock issuable as Share Interest will be freely tradable without restricted legends (including those set forth in 2.05(d)) or manner of sale limitations upon issuance (the “</w:t>
      </w:r>
      <w:r>
        <w:rPr>
          <w:rFonts w:ascii="Times New Roman" w:hAnsi="Times New Roman"/>
          <w:b/>
          <w:sz w:val="20"/>
        </w:rPr>
        <w:t>Share Interest Condition</w:t>
      </w:r>
      <w:r>
        <w:rPr>
          <w:rFonts w:ascii="Times New Roman" w:hAnsi="Times New Roman"/>
          <w:sz w:val="20"/>
        </w:rPr>
        <w:t xml:space="preserve">”) The Company may make an election by delivering a notice to the Trustee and Holders on or prior to the 15th calendar day immediately preceding the relevant Interest Payment Date identifying the method selected and certifying that the Share Interest Condition has been met as of the applicable Interest Payment Date (upon which the Trustee may conclusively rely). In the absence of such an election with respect to an Interest Payment Date, the Company shall be deemed to have elected Cash Interest for all of the interest due on such Interest Payment Date. </w:t>
      </w:r>
    </w:p>
    <w:p>
      <w:pPr>
        <w:pStyle w:val="TextBody"/>
        <w:bidi w:val="0"/>
        <w:spacing w:before="240" w:after="0"/>
        <w:jc w:val="left"/>
        <w:rPr>
          <w:rFonts w:ascii="Times New Roman" w:hAnsi="Times New Roman"/>
          <w:sz w:val="20"/>
        </w:rPr>
      </w:pPr>
      <w:r>
        <w:rPr>
          <w:rFonts w:ascii="Times New Roman" w:hAnsi="Times New Roman"/>
          <w:sz w:val="20"/>
        </w:rPr>
        <w:t>Section 2.04</w:t>
      </w:r>
      <w:r>
        <w:rPr>
          <w:rFonts w:ascii="Times New Roman" w:hAnsi="Times New Roman"/>
          <w:i/>
          <w:sz w:val="20"/>
        </w:rPr>
        <w:t>. Execution, Authentication and Delivery of Notes</w:t>
      </w:r>
      <w:r>
        <w:rPr>
          <w:rFonts w:ascii="Times New Roman" w:hAnsi="Times New Roman"/>
          <w:sz w:val="20"/>
        </w:rPr>
        <w:t xml:space="preserve">. The Notes shall be signed in the name and on behalf of the Company by the manual, facsimile or other electronic signature of its Chief Executive Officer, President, Chief Financial Officer, Treasurer or Secretary or any of its Executive or Senior Vice Presidents. </w:t>
      </w:r>
    </w:p>
    <w:p>
      <w:pPr>
        <w:pStyle w:val="TextBody"/>
        <w:bidi w:val="0"/>
        <w:spacing w:before="240" w:after="0"/>
        <w:jc w:val="left"/>
        <w:rPr>
          <w:rFonts w:ascii="Times New Roman" w:hAnsi="Times New Roman"/>
          <w:sz w:val="20"/>
        </w:rPr>
      </w:pPr>
      <w:r>
        <w:rPr>
          <w:rFonts w:ascii="Times New Roman" w:hAnsi="Times New Roman"/>
          <w:sz w:val="20"/>
        </w:rPr>
        <w:t xml:space="preserve">At any time and from time to time after the execution and delivery of this Indenture, the Company may deliver Notes executed by the Company to the Trustee for authentication, together with a Company Order (such Company Order to include the terms of the Notes) for the authentication and delivery of such Notes, and the Trustee in accordance with such Company Order shall authenticate and deliver such Notes, without any further action by the Company hereunder; </w:t>
      </w:r>
      <w:r>
        <w:rPr>
          <w:rFonts w:ascii="Times New Roman" w:hAnsi="Times New Roman"/>
          <w:i/>
          <w:sz w:val="20"/>
        </w:rPr>
        <w:t>provided</w:t>
      </w:r>
      <w:r>
        <w:rPr>
          <w:rFonts w:ascii="Times New Roman" w:hAnsi="Times New Roman"/>
          <w:sz w:val="20"/>
        </w:rPr>
        <w:t xml:space="preserve"> that, subject to Section 17.05, the Trustee shall receive an Officer’s Certificate and an Opinion of Counsel of the Company with respect to the issuance, authentication and delivery of such Notes. </w:t>
      </w:r>
    </w:p>
    <w:p>
      <w:pPr>
        <w:pStyle w:val="TextBody"/>
        <w:bidi w:val="0"/>
        <w:spacing w:before="240" w:after="0"/>
        <w:jc w:val="left"/>
        <w:rPr>
          <w:rFonts w:ascii="Times New Roman" w:hAnsi="Times New Roman"/>
          <w:sz w:val="20"/>
        </w:rPr>
      </w:pPr>
      <w:r>
        <w:rPr>
          <w:rFonts w:ascii="Times New Roman" w:hAnsi="Times New Roman"/>
          <w:sz w:val="20"/>
        </w:rPr>
        <w:t xml:space="preserve">Only such Notes as shall bear thereon a certificate of authentication substantially in the form set forth on the Form of Note attached as Exhibit A hereto, executed manually by an authorized signatory of the Trustee (or an authenticating agent appointed by the Trustee as provided by Section 17.10),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 </w:t>
      </w:r>
    </w:p>
    <w:p>
      <w:pPr>
        <w:pStyle w:val="TextBody"/>
        <w:bidi w:val="0"/>
        <w:spacing w:before="240" w:after="0"/>
        <w:jc w:val="left"/>
        <w:rPr>
          <w:rFonts w:ascii="Times New Roman" w:hAnsi="Times New Roman"/>
          <w:sz w:val="20"/>
        </w:rPr>
      </w:pPr>
      <w:r>
        <w:rPr>
          <w:rFonts w:ascii="Times New Roman" w:hAnsi="Times New Roman"/>
          <w:sz w:val="20"/>
        </w:rPr>
        <w:t>Section 2.05</w:t>
      </w:r>
      <w:r>
        <w:rPr>
          <w:rFonts w:ascii="Times New Roman" w:hAnsi="Times New Roman"/>
          <w:i/>
          <w:sz w:val="20"/>
        </w:rPr>
        <w:t>. Exchange and Registration of Transfer of Notes; Restrictions on Transfer; Depositary.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shall cause to be kept at the Corporate Trust Office a register (the register maintained in such office or in any other office or agency of the Company designated pursuant to Section 4.02, the “</w:t>
      </w:r>
      <w:r>
        <w:rPr>
          <w:rFonts w:ascii="Times New Roman" w:hAnsi="Times New Roman"/>
          <w:b/>
          <w:sz w:val="20"/>
        </w:rPr>
        <w:t>Note Register</w:t>
      </w:r>
      <w:r>
        <w:rPr>
          <w:rFonts w:ascii="Times New Roman" w:hAnsi="Times New Roman"/>
          <w:sz w:val="20"/>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 w:hAnsi="Times New Roman"/>
          <w:b/>
          <w:sz w:val="20"/>
        </w:rPr>
        <w:t>Note Registrar</w:t>
      </w:r>
      <w:r>
        <w:rPr>
          <w:rFonts w:ascii="Times New Roman" w:hAnsi="Times New Roman"/>
          <w:sz w:val="20"/>
        </w:rPr>
        <w:t xml:space="preserve">” for the purpose of registering Notes and transfers of Notes as herein provided. The Company may appoint one or more co-Note Registrars in accordance with Section 4.02.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for registration of transfer of any Note to the Note Registrar or any co-Note 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service charge shall be imposed by the Company, the Trustee, the Note Registrar, any co-Note Registrar or the Paying Agent for any exchange or registration of transfer of Notes, but the Company and the Trustee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 </w:t>
      </w:r>
    </w:p>
    <w:p>
      <w:pPr>
        <w:pStyle w:val="TextBody"/>
        <w:bidi w:val="0"/>
        <w:spacing w:before="240" w:after="0"/>
        <w:jc w:val="left"/>
        <w:rPr>
          <w:rFonts w:ascii="Times New Roman" w:hAnsi="Times New Roman"/>
          <w:sz w:val="20"/>
        </w:rPr>
      </w:pPr>
      <w:r>
        <w:rPr>
          <w:rFonts w:ascii="Times New Roman" w:hAnsi="Times New Roman"/>
          <w:sz w:val="20"/>
        </w:rPr>
        <w:t xml:space="preserve">None of the Company, the Trustee, the Note Registrar or any co-Note Registrar shall be required to exchange for other Notes or register a transfer of (i) any Notes surrendered for conversion or, if a portion of any Note is surrendered for conversion, such portion thereof surrendered for conversion, (ii) any Notes, or a portion of any Note, surrendered for required repurchase (and not withdrawn) upon a Fundamental Change in accordance with Article 15 or (iii) any Notes selected for Optional Redemption in accordance with Article 16, except the unredeemed portion of any Note being redeemed in part. </w:t>
      </w:r>
    </w:p>
    <w:p>
      <w:pPr>
        <w:pStyle w:val="TextBody"/>
        <w:bidi w:val="0"/>
        <w:spacing w:before="240" w:after="0"/>
        <w:jc w:val="left"/>
        <w:rPr>
          <w:rFonts w:ascii="Times New Roman" w:hAnsi="Times New Roman"/>
          <w:sz w:val="20"/>
        </w:rPr>
      </w:pPr>
      <w:r>
        <w:rPr>
          <w:rFonts w:ascii="Times New Roman" w:hAnsi="Times New Roman"/>
          <w:sz w:val="20"/>
        </w:rPr>
        <w:t xml:space="preserve">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(b) So long as the Notes are eligible for book-entry settlement with the Depositary, unless otherwise required by law, subject to the fourth paragraph from the end of Section 2.05(c) all Notes shall be represented by one or more Notes in global form (each, a “</w:t>
      </w:r>
      <w:r>
        <w:rPr>
          <w:rFonts w:ascii="Times New Roman" w:hAnsi="Times New Roman"/>
          <w:b/>
          <w:sz w:val="20"/>
        </w:rPr>
        <w:t>Global Note</w:t>
      </w:r>
      <w:r>
        <w:rPr>
          <w:rFonts w:ascii="Times New Roman" w:hAnsi="Times New Roman"/>
          <w:sz w:val="20"/>
        </w:rPr>
        <w:t xml:space="preserve">”) registered in the name of the Depositary or the nominee of the Depositary. Each Global Note shall bear the legend required on a Global Note set forth in Exhibit A hereto.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applicable procedures of the Depositary therefor. </w:t>
      </w:r>
    </w:p>
    <w:p>
      <w:pPr>
        <w:pStyle w:val="TextBody"/>
        <w:bidi w:val="0"/>
        <w:spacing w:before="240" w:after="0"/>
        <w:jc w:val="left"/>
        <w:rPr>
          <w:rFonts w:ascii="Times New Roman" w:hAnsi="Times New Roman"/>
          <w:sz w:val="20"/>
        </w:rPr>
      </w:pPr>
      <w:r>
        <w:rPr>
          <w:rFonts w:ascii="Times New Roman" w:hAnsi="Times New Roman"/>
          <w:sz w:val="20"/>
        </w:rPr>
        <w:t>(c) Every Note that bears or is required under this Section 2.05(c) to bear the Restrictive Notes Legend (together with any Common Stock issued upon conversion of the Notes that is required to bear the legend set forth in Section 2.05(d), collectively, the “</w:t>
      </w:r>
      <w:r>
        <w:rPr>
          <w:rFonts w:ascii="Times New Roman" w:hAnsi="Times New Roman"/>
          <w:b/>
          <w:sz w:val="20"/>
        </w:rPr>
        <w:t>Restricted Securities</w:t>
      </w:r>
      <w:r>
        <w:rPr>
          <w:rFonts w:ascii="Times New Roman" w:hAnsi="Times New Roman"/>
          <w:sz w:val="20"/>
        </w:rPr>
        <w:t>”) shall be subject to the restrictions on transfer set forth in this Section 2.05(c) (including the Restrictive Notes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Times New Roman" w:hAnsi="Times New Roman"/>
          <w:b/>
          <w:sz w:val="20"/>
        </w:rPr>
        <w:t>transfer</w:t>
      </w:r>
      <w:r>
        <w:rPr>
          <w:rFonts w:ascii="Times New Roman" w:hAnsi="Times New Roman"/>
          <w:sz w:val="20"/>
        </w:rPr>
        <w:t xml:space="preserve">” encompasses any sale, pledge, transfer or other disposition whatsoever of any Restricted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Any certificate evidencing a Note (and all securities issued in exchange therefor or substitution thereof, other than Common Stock, if any, issued upon conversion thereof or upon the payment of interest thereon, which shall bear the legend set forth in Section 2.05(d), if applicable) shall bear a legend in substantially the following form (the “</w:t>
      </w:r>
      <w:r>
        <w:rPr>
          <w:rFonts w:ascii="Times New Roman" w:hAnsi="Times New Roman"/>
          <w:b/>
          <w:sz w:val="20"/>
        </w:rPr>
        <w:t>Restrictive Notes Legend</w:t>
      </w:r>
      <w:r>
        <w:rPr>
          <w:rFonts w:ascii="Times New Roman" w:hAnsi="Times New Roman"/>
          <w:sz w:val="20"/>
        </w:rPr>
        <w:t xml:space="preserve">”)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THIS SECURITY AND THE COMMON STOCK, IF ANY, ISSUABLE UPON CONVERSION OF, OR THE PAYMENT OF INTEREST ON,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 </w:t>
      </w:r>
    </w:p>
    <w:p>
      <w:pPr>
        <w:pStyle w:val="TextBody"/>
        <w:bidi w:val="0"/>
        <w:spacing w:before="120" w:after="0"/>
        <w:jc w:val="left"/>
        <w:rPr>
          <w:rFonts w:ascii="Times New Roman" w:hAnsi="Times New Roman"/>
          <w:sz w:val="20"/>
        </w:rPr>
      </w:pPr>
      <w:r>
        <w:rPr>
          <w:rFonts w:ascii="Times New Roman" w:hAnsi="Times New Roman"/>
          <w:sz w:val="20"/>
        </w:rPr>
        <w:t xml:space="preserve">(1) REPRESENTS THAT IT AND ANY ACCOUNT FOR WHICH IT IS ACTING IS A “QUALIFIED INSTITUTIONAL BUYER” (WITHIN THE MEANING OF RULE 144A UNDER THE SECURITIES ACT) AND THAT IT EXERCISES SOLE INVESTMENT DISCRETION WITH RESPECT TO EACH SUCH ACCOUNT, AND </w:t>
      </w:r>
    </w:p>
    <w:p>
      <w:pPr>
        <w:pStyle w:val="TextBody"/>
        <w:bidi w:val="0"/>
        <w:spacing w:before="120" w:after="0"/>
        <w:jc w:val="left"/>
        <w:rPr>
          <w:rFonts w:ascii="Times New Roman" w:hAnsi="Times New Roman"/>
          <w:sz w:val="20"/>
        </w:rPr>
      </w:pPr>
      <w:r>
        <w:rPr>
          <w:rFonts w:ascii="Times New Roman" w:hAnsi="Times New Roman"/>
          <w:sz w:val="20"/>
        </w:rPr>
        <w:t xml:space="preserve">(2) AGREES FOR THE BENEFIT OF AEVA TECHNOLOGIES, INC. (THE “COMPANY”) THAT IT WILL NOT OFFER, SELL, PLEDGE OR OTHERWISE TRANSFER THIS SECURITY AND THE COMMON STOCK, IF ANY, ISSUABLE UPON CONVERSION OF THIS SECURITY, OR ANY BENEFICIAL INTEREST HEREIN OR THEREIN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 </w:t>
      </w:r>
    </w:p>
    <w:p>
      <w:pPr>
        <w:pStyle w:val="TextBody"/>
        <w:bidi w:val="0"/>
        <w:spacing w:before="120" w:after="0"/>
        <w:jc w:val="left"/>
        <w:rPr>
          <w:rFonts w:ascii="Times New Roman" w:hAnsi="Times New Roman"/>
          <w:sz w:val="20"/>
        </w:rPr>
      </w:pPr>
      <w:r>
        <w:rPr>
          <w:rFonts w:ascii="Times New Roman" w:hAnsi="Times New Roman"/>
          <w:sz w:val="20"/>
        </w:rPr>
        <w:t xml:space="preserve">(A) TO THE COMPANY OR ANY SUBSIDIARY THEREOF, OR </w:t>
      </w:r>
    </w:p>
    <w:p>
      <w:pPr>
        <w:pStyle w:val="TextBody"/>
        <w:bidi w:val="0"/>
        <w:spacing w:before="120" w:after="0"/>
        <w:jc w:val="left"/>
        <w:rPr>
          <w:rFonts w:ascii="Times New Roman" w:hAnsi="Times New Roman"/>
          <w:sz w:val="20"/>
        </w:rPr>
      </w:pPr>
      <w:r>
        <w:rPr>
          <w:rFonts w:ascii="Times New Roman" w:hAnsi="Times New Roman"/>
          <w:sz w:val="20"/>
        </w:rPr>
        <w:t xml:space="preserve">(B) PURSUANT TO A REGISTRATION STATEMENT WHICH HAS BECOME EFFECTIVE UNDER THE SECURITIES ACT, OR </w:t>
      </w:r>
    </w:p>
    <w:p>
      <w:pPr>
        <w:pStyle w:val="TextBody"/>
        <w:bidi w:val="0"/>
        <w:spacing w:before="120" w:after="0"/>
        <w:jc w:val="left"/>
        <w:rPr>
          <w:rFonts w:ascii="Times New Roman" w:hAnsi="Times New Roman"/>
          <w:sz w:val="20"/>
        </w:rPr>
      </w:pPr>
      <w:r>
        <w:rPr>
          <w:rFonts w:ascii="Times New Roman" w:hAnsi="Times New Roman"/>
          <w:sz w:val="20"/>
        </w:rPr>
        <w:t xml:space="preserve">(C) TO A PERSON REASONABLY BELIEVED TO BE A QUALIFIED INSTITUTIONAL BUYER IN COMPLIANCE WITH RULE 144A UNDER THE SECURITIES ACT, OR </w:t>
      </w:r>
    </w:p>
    <w:p>
      <w:pPr>
        <w:pStyle w:val="TextBody"/>
        <w:bidi w:val="0"/>
        <w:spacing w:before="120" w:after="0"/>
        <w:jc w:val="left"/>
        <w:rPr>
          <w:rFonts w:ascii="Times New Roman" w:hAnsi="Times New Roman"/>
          <w:sz w:val="20"/>
        </w:rPr>
      </w:pPr>
      <w:r>
        <w:rPr>
          <w:rFonts w:ascii="Times New Roman" w:hAnsi="Times New Roman"/>
          <w:sz w:val="20"/>
        </w:rPr>
        <w:t xml:space="preserve">(D) PURSUANT TO AN EXEMPTION FROM REGISTRATION PROVIDED BY RULE 144 UNDER THE SECURITIES ACT OR ANY OTHER AVAILABLE EXEMPTION FROM THE REGISTRATION REQUIREMENTS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No transfer of any Note required to bear the legend above will be registered by the Note Registrar unless the applicable box on the Form of Assignment and Transfer has been checked. </w:t>
      </w:r>
    </w:p>
    <w:p>
      <w:pPr>
        <w:pStyle w:val="TextBody"/>
        <w:bidi w:val="0"/>
        <w:spacing w:before="240" w:after="0"/>
        <w:jc w:val="left"/>
        <w:rPr>
          <w:rFonts w:ascii="Times New Roman" w:hAnsi="Times New Roman"/>
          <w:sz w:val="20"/>
        </w:rPr>
      </w:pPr>
      <w:r>
        <w:rPr>
          <w:rFonts w:ascii="Times New Roman" w:hAnsi="Times New Roman"/>
          <w:sz w:val="20"/>
        </w:rPr>
        <w:t xml:space="preserve">Any Note (or security issued in exchange or substitution therefor) (i) as to which such restrictions on transfer shall have expired in accordance with their terms, (ii) that has been transferred pursuant to a registration statement that has become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Note for exchange to the Note Registrar in accordance with the provisions of this Section 2.05, be exchanged for a new Note or Notes, of like tenor and aggregate principal amount, which shall not bear the Restrictive Notes Legend required by this Section 2.05(c) and shall not be assigned a restricted CUSIP number.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be entitled to instruct the Custodian in writing to so surrender any Global Note as to which any of the conditions set forth in clause (i) through (iii) of the immediately preceding paragraph have been satisfied, and, upon such instruction, the Custodian shall so surrender such Global Note for exchange; and any new Global Note so exchanged therefor shall not bear the Restrictive Notes Legend specified in this Section 2.05(c) and shall not be assigned a restricted CUSIP number. In addition, the Company may effect the removal of the Restrictive Notes Legend upon the Company’s delivery to the Trustee of written notice to such effect, whereupon the Restrictive Notes Legend set forth above and affixed on any Note shall be deemed, in accordance with the terms of the certificate representing such Note, to be removed therefrom without further action by the Company, the Trustee, the Holder(s) thereof or any other Person; at such time, such Note shall be deemed to be assigned an unrestricted CUSIP number as provided in the certificate representing such Note, it being understood, including for purposes of the Notes being freely tradable pursuant to Section 4.06(d), that the Depositary of any Global Note may require a mandatory or optional exchange or other process to cause such Global Note to be identified by an unrestricted CUSIP number in the facilities of such Depositary. The Company shall promptly notify the Trustee promptly after a registration statement, if any, with respect to the Notes or any Common Stock issued upon conversion of the Notes or upon the payment of Share Interest has become or been declared effective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 </w:t>
      </w:r>
    </w:p>
    <w:p>
      <w:pPr>
        <w:pStyle w:val="TextBody"/>
        <w:bidi w:val="0"/>
        <w:spacing w:before="240" w:after="0"/>
        <w:jc w:val="left"/>
        <w:rPr>
          <w:rFonts w:ascii="Times New Roman" w:hAnsi="Times New Roman"/>
          <w:sz w:val="20"/>
        </w:rPr>
      </w:pPr>
      <w:r>
        <w:rPr>
          <w:rFonts w:ascii="Times New Roman" w:hAnsi="Times New Roman"/>
          <w:sz w:val="20"/>
        </w:rPr>
        <w:t xml:space="preserve">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subject to the Depositary’s applicable procedures,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 </w:t>
      </w:r>
    </w:p>
    <w:p>
      <w:pPr>
        <w:pStyle w:val="TextBody"/>
        <w:bidi w:val="0"/>
        <w:spacing w:before="240" w:after="0"/>
        <w:jc w:val="left"/>
        <w:rPr>
          <w:rFonts w:ascii="Times New Roman" w:hAnsi="Times New Roman"/>
          <w:sz w:val="20"/>
        </w:rPr>
      </w:pPr>
      <w:r>
        <w:rPr>
          <w:rFonts w:ascii="Times New Roman" w:hAnsi="Times New Roman"/>
          <w:sz w:val="20"/>
        </w:rPr>
        <w:t xml:space="preserve">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in writing. Upon execution and authentication, the Trustee shall deliver such Physical Notes to the Persons in whose names such Physical Notes are so registered. </w:t>
      </w:r>
    </w:p>
    <w:p>
      <w:pPr>
        <w:pStyle w:val="TextBody"/>
        <w:bidi w:val="0"/>
        <w:spacing w:before="240" w:after="0"/>
        <w:jc w:val="left"/>
        <w:rPr>
          <w:rFonts w:ascii="Times New Roman" w:hAnsi="Times New Roman"/>
          <w:sz w:val="20"/>
        </w:rPr>
      </w:pPr>
      <w:r>
        <w:rPr>
          <w:rFonts w:ascii="Times New Roman" w:hAnsi="Times New Roman"/>
          <w:sz w:val="20"/>
        </w:rPr>
        <w:t xml:space="preserve">At such time as all interests in a Global Note have been converted, canceled, repurchased upon a Fundamental Change, redeemed or transferred, such Global Note shall be, upon receipt thereof, canceled by the Trustee in accordance with standing procedures and existing instructions between the Depositary and the Custodian. At any time prior to such cancellation, if any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 Global Note is exchanged for Physical Notes, converted, canceled, repurchased upon a Fundamental Change,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 </w:t>
      </w:r>
    </w:p>
    <w:p>
      <w:pPr>
        <w:pStyle w:val="TextBody"/>
        <w:bidi w:val="0"/>
        <w:spacing w:before="240" w:after="0"/>
        <w:jc w:val="left"/>
        <w:rPr>
          <w:rFonts w:ascii="Times New Roman" w:hAnsi="Times New Roman"/>
          <w:sz w:val="20"/>
        </w:rPr>
      </w:pPr>
      <w:r>
        <w:rPr>
          <w:rFonts w:ascii="Times New Roman" w:hAnsi="Times New Roman"/>
          <w:sz w:val="20"/>
        </w:rPr>
        <w:t xml:space="preserve">None of the Company, the Guarantors, the Trustee (including in its capacity as Paying Agent) or any agent of the Company, the Guarantors or the Trustee shall have any responsibility or liability for any act or omission of the Depositary or for the payment of amounts to owners of beneficial interests in a Global Note, for any aspect of the records relating to or payments made on account of those interests by the Depositary, or for maintaining, supervising or reviewing any records of the Depositary relating to those interests. All notices and communications to be given to the Holders and all payments to be made to Holders in respect of the Notes shall be given or made only to, or upon the order of the registered Holder(s), which shall be the Depositary or its nominee in the case of a Global Note. The rights of beneficial owners in any Global Note shall be exercised only through the Depositary subject to the applicable procedures of the Depositary. The Trustee may rely and shall be fully protected in relying upon information furnished by the Depositary with respect to its members, participants and beneficial owners. </w:t>
      </w:r>
    </w:p>
    <w:p>
      <w:pPr>
        <w:pStyle w:val="TextBody"/>
        <w:bidi w:val="0"/>
        <w:spacing w:before="240" w:after="0"/>
        <w:jc w:val="left"/>
        <w:rPr>
          <w:rFonts w:ascii="Times New Roman" w:hAnsi="Times New Roman"/>
          <w:sz w:val="20"/>
        </w:rPr>
      </w:pPr>
      <w:r>
        <w:rPr>
          <w:rFonts w:ascii="Times New Roman" w:hAnsi="Times New Roman"/>
          <w:sz w:val="20"/>
        </w:rPr>
        <w:t xml:space="preserve">(d) Any stock certificate representing Common Stock issued upon conversion of a Note or upon the payment of Share Interest shall bear a legend in substantially the following form (unless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Common Stock has been issued upon conversion of a Note that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SECURITY HAS NOT BEEN REGISTERED UNDER THE SECURITIES ACT OF 1933, AS AMENDED (THE “SECURITIES ACT”), AND MAY NOT BE OFFERED, SOLD, PLEDGED OR OTHERWISE TRANSFERRED EXCEPT IN ACCORDANCE WITH THE FOLLOWING SENTENCE. BY ITS ACQUISITION HEREOF OR OF A BENEFICIAL INTEREST HEREIN, THE ACQUIRER: </w:t>
      </w:r>
    </w:p>
    <w:p>
      <w:pPr>
        <w:pStyle w:val="TextBody"/>
        <w:bidi w:val="0"/>
        <w:spacing w:before="120" w:after="0"/>
        <w:jc w:val="left"/>
        <w:rPr>
          <w:rFonts w:ascii="Times New Roman" w:hAnsi="Times New Roman"/>
          <w:sz w:val="20"/>
        </w:rPr>
      </w:pPr>
      <w:r>
        <w:rPr>
          <w:rFonts w:ascii="Times New Roman" w:hAnsi="Times New Roman"/>
          <w:sz w:val="20"/>
        </w:rPr>
        <w:t xml:space="preserve">(1) REPRESENTS THAT IT AND ANY ACCOUNT FOR WHICH IT IS ACTING IS A “QUALIFIED INSTITUTIONAL BUYER” (WITHIN THE MEANING OF RULE 144A UNDER THE SECURITIES ACT) AND THAT IT EXERCISES SOLE INVESTMENT DISCRETION WITH RESPECT TO EACH SUCH ACCOUNT,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AGREES FOR THE BENEFIT OF AEVA TECHNOLOGIES, INC. (THE “COMPANY”) THAT IT WILL NOT OFFER, SELL, PLEDGE OR OTHERWISE TRANSFER THIS SECURITY OR ANY BENEFICIAL INTEREST HEREIN PRIOR TO THE DATE THAT IS THE LATER OF (X) ONE YEAR AFTER THE LAST ORIGINAL ISSUE DATE OF THE SERIES OF NOTES UPON THE CONVERSION OF WHICH THIS SECURITY WAS ISSUED OR SUCH SHORTER PERIOD OF TIME AS PERMITTED BY RULE 144 UNDER THE SECURITIES ACT OR ANY SUCCESSOR PROVISION THERETO AND (Y) SUCH LATER DATE, IF ANY, AS MAY BE REQUIRED BY APPLICABLE LAW, EXCEPT: </w:t>
      </w:r>
    </w:p>
    <w:p>
      <w:pPr>
        <w:pStyle w:val="TextBody"/>
        <w:bidi w:val="0"/>
        <w:spacing w:before="120" w:after="0"/>
        <w:jc w:val="left"/>
        <w:rPr>
          <w:rFonts w:ascii="Times New Roman" w:hAnsi="Times New Roman"/>
          <w:sz w:val="20"/>
        </w:rPr>
      </w:pPr>
      <w:r>
        <w:rPr>
          <w:rFonts w:ascii="Times New Roman" w:hAnsi="Times New Roman"/>
          <w:sz w:val="20"/>
        </w:rPr>
        <w:t xml:space="preserve">(A) TO THE COMPANY OR ANY SUBSIDIARY THEREOF, OR </w:t>
      </w:r>
    </w:p>
    <w:p>
      <w:pPr>
        <w:pStyle w:val="TextBody"/>
        <w:bidi w:val="0"/>
        <w:spacing w:before="120" w:after="0"/>
        <w:jc w:val="left"/>
        <w:rPr>
          <w:rFonts w:ascii="Times New Roman" w:hAnsi="Times New Roman"/>
          <w:sz w:val="20"/>
        </w:rPr>
      </w:pPr>
      <w:r>
        <w:rPr>
          <w:rFonts w:ascii="Times New Roman" w:hAnsi="Times New Roman"/>
          <w:sz w:val="20"/>
        </w:rPr>
        <w:t xml:space="preserve">(B) PURSUANT TO A REGISTRATION STATEMENT WHICH HAS BECOME EFFECTIVE UNDER THE SECURITIES ACT, OR </w:t>
      </w:r>
    </w:p>
    <w:p>
      <w:pPr>
        <w:pStyle w:val="TextBody"/>
        <w:bidi w:val="0"/>
        <w:spacing w:before="120" w:after="0"/>
        <w:jc w:val="left"/>
        <w:rPr>
          <w:rFonts w:ascii="Times New Roman" w:hAnsi="Times New Roman"/>
          <w:sz w:val="20"/>
        </w:rPr>
      </w:pPr>
      <w:r>
        <w:rPr>
          <w:rFonts w:ascii="Times New Roman" w:hAnsi="Times New Roman"/>
          <w:sz w:val="20"/>
        </w:rPr>
        <w:t xml:space="preserve">(C) TO A PERSON REASONABLY BELIEVED TO BE A QUALIFIED INSTITUTIONAL BUYER IN COMPLIANCE WITH RULE 144A UNDER THE SECURITIES ACT, OR </w:t>
      </w:r>
    </w:p>
    <w:p>
      <w:pPr>
        <w:pStyle w:val="TextBody"/>
        <w:bidi w:val="0"/>
        <w:spacing w:before="120" w:after="0"/>
        <w:jc w:val="left"/>
        <w:rPr>
          <w:rFonts w:ascii="Times New Roman" w:hAnsi="Times New Roman"/>
          <w:sz w:val="20"/>
        </w:rPr>
      </w:pPr>
      <w:r>
        <w:rPr>
          <w:rFonts w:ascii="Times New Roman" w:hAnsi="Times New Roman"/>
          <w:sz w:val="20"/>
        </w:rPr>
        <w:t xml:space="preserve">(D) PURSUANT TO AN EXEMPTION FROM REGISTRATION PROVIDED BY RULE 144 UNDER THE SECURITIES ACT OR ANY OTHER AVAILABLE EXEMPTION FROM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PRIOR TO THE REGISTRATION OF ANY TRANSFER IN ACCORDANCE WITH CLAUSE (2)(D) ABOVE, THE COMPANY AND THE TRANSFER AGENT FOR THE COMPANY’S COMMON STOCK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Any such Common Stock (i)that has been transferred pursuant to a registration statement that has become or been declared effective under the Securities Act and that continues to be effective at the time of such transfer or (ii) that has been sold pursuant to the exemption from registration provided by Rule 144 or any similar provision then in force under the Securities Act,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2.05(d).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240" w:after="0"/>
        <w:jc w:val="left"/>
        <w:rPr>
          <w:rFonts w:ascii="Times New Roman" w:hAnsi="Times New Roman"/>
          <w:sz w:val="20"/>
        </w:rPr>
      </w:pPr>
      <w:r>
        <w:rPr>
          <w:rFonts w:ascii="Times New Roman" w:hAnsi="Times New Roman"/>
          <w:sz w:val="20"/>
        </w:rPr>
        <w:t xml:space="preserve">(e) Any Note or restricted Common Stock issued upon the conversion or exchange of a Note that is repurchased or owned by the Company or any Affiliate of the Company (or any Person who was an Affiliate of the Company at any time during the three months immediately preceding) may not be resold by the Company or such Affiliate (or such Person, as the case may be) unless registered under the Securities Act or resold pursuant to an exemption from the registration requirements of the Securities Act in a transaction that results in such Note or Common Stock, as the case may be, no longer being a “restricted security” (as defined under Rule 144). </w:t>
      </w:r>
    </w:p>
    <w:p>
      <w:pPr>
        <w:pStyle w:val="TextBody"/>
        <w:bidi w:val="0"/>
        <w:spacing w:before="240" w:after="0"/>
        <w:jc w:val="left"/>
        <w:rPr>
          <w:rFonts w:ascii="Times New Roman" w:hAnsi="Times New Roman"/>
          <w:sz w:val="20"/>
        </w:rPr>
      </w:pPr>
      <w:r>
        <w:rPr>
          <w:rFonts w:ascii="Times New Roman" w:hAnsi="Times New Roman"/>
          <w:sz w:val="20"/>
        </w:rPr>
        <w:t>Section 2.06</w:t>
      </w:r>
      <w:r>
        <w:rPr>
          <w:rFonts w:ascii="Times New Roman" w:hAnsi="Times New Roman"/>
          <w:i/>
          <w:sz w:val="20"/>
        </w:rPr>
        <w:t>. Mutilated, Destroyed, Lost or Stolen Notes.</w:t>
      </w:r>
      <w:r>
        <w:rPr>
          <w:rFonts w:ascii="Times New Roman" w:hAnsi="Times New Roman"/>
          <w:sz w:val="20"/>
        </w:rPr>
        <w:t xml:space="preserve"> In case any Note shall become mutilated or be destroyed, lost or stolen, the Company in its discretion may execute, and upon its written request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claim,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upon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Fundamental Change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claim,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 </w:t>
      </w:r>
    </w:p>
    <w:p>
      <w:pPr>
        <w:pStyle w:val="TextBody"/>
        <w:bidi w:val="0"/>
        <w:spacing w:before="240" w:after="0"/>
        <w:jc w:val="left"/>
        <w:rPr>
          <w:rFonts w:ascii="Times New Roman" w:hAnsi="Times New Roman"/>
          <w:sz w:val="20"/>
        </w:rPr>
      </w:pPr>
      <w:r>
        <w:rPr>
          <w:rFonts w:ascii="Times New Roman" w:hAnsi="Times New Roman"/>
          <w:sz w:val="20"/>
        </w:rPr>
        <w:t xml:space="preserve">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 </w:t>
      </w:r>
    </w:p>
    <w:p>
      <w:pPr>
        <w:pStyle w:val="TextBody"/>
        <w:bidi w:val="0"/>
        <w:spacing w:before="240" w:after="0"/>
        <w:jc w:val="left"/>
        <w:rPr>
          <w:rFonts w:ascii="Times New Roman" w:hAnsi="Times New Roman"/>
          <w:sz w:val="20"/>
        </w:rPr>
      </w:pPr>
      <w:r>
        <w:rPr>
          <w:rFonts w:ascii="Times New Roman" w:hAnsi="Times New Roman"/>
          <w:sz w:val="20"/>
        </w:rPr>
        <w:t>Section 2.07</w:t>
      </w:r>
      <w:r>
        <w:rPr>
          <w:rFonts w:ascii="Times New Roman" w:hAnsi="Times New Roman"/>
          <w:i/>
          <w:sz w:val="20"/>
        </w:rPr>
        <w:t>. Temporary Notes</w:t>
      </w:r>
      <w:r>
        <w:rPr>
          <w:rFonts w:ascii="Times New Roman" w:hAnsi="Times New Roman"/>
          <w:sz w:val="20"/>
        </w:rPr>
        <w:t xml:space="preserve">. Pending the preparation of Physical Notes, the Company may execute and the Trustee or an authenticating agent appointed by the Trustee shall, upon receipt of written request of the Company in the form of a Company Order,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2.08</w:t>
      </w:r>
      <w:r>
        <w:rPr>
          <w:rFonts w:ascii="Times New Roman" w:hAnsi="Times New Roman"/>
          <w:i/>
          <w:sz w:val="20"/>
        </w:rPr>
        <w:t>. Cancellation of Notes Paid, Converted, Etc.</w:t>
      </w:r>
      <w:r>
        <w:rPr>
          <w:rFonts w:ascii="Times New Roman" w:hAnsi="Times New Roman"/>
          <w:sz w:val="20"/>
        </w:rPr>
        <w:t xml:space="preserve">. The Company shall cause all Notes surrendered for the purpose of payment at maturity, repurchase upon a Fundamental Change, redemption, registration of transfer or exchange or conversion (other than any Notes exchanged pursuant to Section 14.12), if surrendered to the Company or any of its agents or Subsidiaries, to be surrendered to the Trustee for cancellation. All Notes delivered to the Trustee shall be canceled promptly by it in accordance with its customary procedures and will no longer be considered outstanding. Except for any Notes surrendered for registration of transfer or exchange, or as otherwise expressly permitted by any of the provisions of this Indenture, no Notes shall be authenticated in exchange for any Notes surrendered to the Trustee for cancellation. The Trustee shall dispose of canceled Notes in accordance with its customary procedures and, after such disposition, shall deliver evidence of such disposition to the Company, at the Company’s written request in a Company Order. </w:t>
      </w:r>
    </w:p>
    <w:p>
      <w:pPr>
        <w:pStyle w:val="TextBody"/>
        <w:bidi w:val="0"/>
        <w:spacing w:before="240" w:after="0"/>
        <w:jc w:val="left"/>
        <w:rPr>
          <w:rFonts w:ascii="Times New Roman" w:hAnsi="Times New Roman"/>
          <w:sz w:val="20"/>
        </w:rPr>
      </w:pPr>
      <w:r>
        <w:rPr>
          <w:rFonts w:ascii="Times New Roman" w:hAnsi="Times New Roman"/>
          <w:sz w:val="20"/>
        </w:rPr>
        <w:t>Section 2.09</w:t>
      </w:r>
      <w:r>
        <w:rPr>
          <w:rFonts w:ascii="Times New Roman" w:hAnsi="Times New Roman"/>
          <w:i/>
          <w:sz w:val="20"/>
        </w:rPr>
        <w:t>. CUSIP Numbers</w:t>
      </w:r>
      <w:r>
        <w:rPr>
          <w:rFonts w:ascii="Times New Roman" w:hAnsi="Times New Roman"/>
          <w:sz w:val="20"/>
        </w:rPr>
        <w:t xml:space="preserve">. The Company in issuing the Notes may use “CUSIP” numbers (if then generally in use), and, if so, the Trustee shall use “CUSIP” numbers in all notices issued to Holders as a convenience to such Holders; </w:t>
      </w:r>
      <w:r>
        <w:rPr>
          <w:rFonts w:ascii="Times New Roman" w:hAnsi="Times New Roman"/>
          <w:i/>
          <w:sz w:val="20"/>
        </w:rPr>
        <w:t>provided</w:t>
      </w:r>
      <w:r>
        <w:rPr>
          <w:rFonts w:ascii="Times New Roman" w:hAnsi="Times New Roman"/>
          <w:sz w:val="20"/>
        </w:rPr>
        <w:t xml:space="preserve"> that the Trustee shall have no liability for any defect in the “CUSIP” numbers as they appear on any Note, notice or elsewhere, and, provided, further,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 </w:t>
      </w:r>
    </w:p>
    <w:p>
      <w:pPr>
        <w:pStyle w:val="TextBody"/>
        <w:bidi w:val="0"/>
        <w:spacing w:before="240" w:after="0"/>
        <w:jc w:val="left"/>
        <w:rPr>
          <w:rFonts w:ascii="Times New Roman" w:hAnsi="Times New Roman"/>
          <w:sz w:val="20"/>
        </w:rPr>
      </w:pPr>
      <w:r>
        <w:rPr>
          <w:rFonts w:ascii="Times New Roman" w:hAnsi="Times New Roman"/>
          <w:sz w:val="20"/>
        </w:rPr>
        <w:t>Section 2.10</w:t>
      </w:r>
      <w:r>
        <w:rPr>
          <w:rFonts w:ascii="Times New Roman" w:hAnsi="Times New Roman"/>
          <w:i/>
          <w:sz w:val="20"/>
        </w:rPr>
        <w:t>. Additional Notes; Repurchases</w:t>
      </w:r>
      <w:r>
        <w:rPr>
          <w:rFonts w:ascii="Times New Roman" w:hAnsi="Times New Roman"/>
          <w:sz w:val="20"/>
        </w:rPr>
        <w:t xml:space="preserve">. The Company may, without the consent of, or notice to, the Holders and notwithstanding Section 2.01, reopen this Indenture and issue additional Notes hereunder with the same terms as the Notes initially issued hereunder (other than differences in the issue date, the issue price, interest accrued prior to the issue date of such additional Notes and, if applicable, restrictions on transfer in respect of such additional Notes) in an unlimited aggregate principal amount; </w:t>
      </w:r>
      <w:r>
        <w:rPr>
          <w:rFonts w:ascii="Times New Roman" w:hAnsi="Times New Roman"/>
          <w:i/>
          <w:sz w:val="20"/>
        </w:rPr>
        <w:t>provided</w:t>
      </w:r>
      <w:r>
        <w:rPr>
          <w:rFonts w:ascii="Times New Roman" w:hAnsi="Times New Roman"/>
          <w:sz w:val="20"/>
        </w:rPr>
        <w:t xml:space="preserve"> that if any such additional Notes are not fungible for U.S. federal income tax or securities law purposes with the existing Notes issued hereunder, such additional Notes shall have one or more separate CUSIP numbers that are different from the CUSIP number of such existing Notes. Prior to the issuance of any such additional Notes, the Company shall deliver to the Trustee a Company Order, an Officer’s Certificate and an Opinion of Counsel, such Officer’s Certificate and Opinion of Counsel to cover such matters, in addition to those required by Section 17.05, as the Trustee shall reasonably request. In addition, the Company may, to the extent permitted by law, and directly or indirectly (regardless of whether such Notes are surrendered to the Company), repurchase Notes in the open market or otherwise, whether by the Company or its Subsidiaries or through a privately negotiated transaction or public tender or exchange offer or through counterparties to private agreements, including by cash-settled swaps or other derivatives, in each case, without the consent of or notice to the Holders. The Company may, at its option and to the extent permitted by applicable law, reissue, resell or surrender to the Trustee for cancellation any Notes that it may repurchase, in the case of a reissuance or resale, so long as such Notes do not constitute “restricted securities” (as defined under Rule 144) upon such reissuance or resale;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if any such reissued or resold Notes are not fungible for U.S. federal income tax or securities law purposes with the existing Notes issued hereunder, such reissued or resold Notes shall have one or more separate CUSIP numbers that are different from the CUSIP number of such existing Notes. Any Notes that the Company may repurchase shall be considered outstanding for all purposes under this Indenture (other than, at any time when such Notes are owned by the Company, by any Subsidiary thereof or by any Affiliate of the Company or any Subsidiary thereof, as set forth in Section 8.04) unless and until such time as the Company surrenders them to the Trustee for cancellation and, upon receipt of a Company Order, the Trustee shall cancel all Notes so surrendered. </w:t>
      </w:r>
    </w:p>
    <w:p>
      <w:pPr>
        <w:pStyle w:val="TextBody"/>
        <w:bidi w:val="0"/>
        <w:spacing w:before="240" w:after="0"/>
        <w:jc w:val="center"/>
        <w:rPr>
          <w:rFonts w:ascii="Times New Roman" w:hAnsi="Times New Roman"/>
          <w:sz w:val="20"/>
        </w:rPr>
      </w:pPr>
      <w:r>
        <w:rPr>
          <w:rFonts w:ascii="Times New Roman" w:hAnsi="Times New Roman"/>
          <w:sz w:val="20"/>
        </w:rPr>
        <w:t xml:space="preserve">ARTICLE 3 </w:t>
      </w:r>
    </w:p>
    <w:p>
      <w:pPr>
        <w:pStyle w:val="TextBody"/>
        <w:bidi w:val="0"/>
        <w:spacing w:before="0" w:after="0"/>
        <w:jc w:val="center"/>
        <w:rPr>
          <w:rFonts w:ascii="Times New Roman" w:hAnsi="Times New Roman"/>
          <w:sz w:val="20"/>
        </w:rPr>
      </w:pPr>
      <w:r>
        <w:rPr>
          <w:rFonts w:ascii="Times New Roman" w:hAnsi="Times New Roman"/>
          <w:sz w:val="20"/>
        </w:rPr>
        <w:t xml:space="preserve">SATISFACTION AND DISCHARGE </w:t>
      </w:r>
    </w:p>
    <w:p>
      <w:pPr>
        <w:pStyle w:val="TextBody"/>
        <w:bidi w:val="0"/>
        <w:spacing w:before="240" w:after="0"/>
        <w:jc w:val="left"/>
        <w:rPr>
          <w:rFonts w:ascii="Times New Roman" w:hAnsi="Times New Roman"/>
          <w:sz w:val="20"/>
        </w:rPr>
      </w:pPr>
      <w:r>
        <w:rPr>
          <w:rFonts w:ascii="Times New Roman" w:hAnsi="Times New Roman"/>
          <w:sz w:val="20"/>
        </w:rPr>
        <w:t>Section 3.01</w:t>
      </w:r>
      <w:r>
        <w:rPr>
          <w:rFonts w:ascii="Times New Roman" w:hAnsi="Times New Roman"/>
          <w:i/>
          <w:sz w:val="20"/>
        </w:rPr>
        <w:t>. Satisfaction and Discharge.</w:t>
      </w:r>
      <w:r>
        <w:rPr>
          <w:rFonts w:ascii="Times New Roman" w:hAnsi="Times New Roman"/>
          <w:sz w:val="20"/>
        </w:rPr>
        <w:t xml:space="preserve"> (a) This Indenture and the Notes shall cease to be of further effect when (i) all Notes theretofore authenticated and delivered (other than (x) Notes which have been destroyed, lost or stolen and which have been replaced, paid or converted as provided in Section 2.06 and (y) Notes for whose payment money has heretofore been deposited in trust or segregated and held in trust by the Company and thereafter repaid to the Company or discharged from such trust, as provided in Section 4.04(d)) have been delivered to the Trustee for cancellation; or (ii) the Company or any Guarantor has deposited with the Trustee or delivered to Holders, as applicable, after the Notes have become due and payable, whether on the Maturity Date, any Redemption Date, any Fundamental Change Repurchase Date, upon conversion or otherwise, cash or, solely to satisfy the Company’s Conversion Obligation, cash, shares of Common Stock or a combination thereof, as applicable, sufficient to pay all of the outstanding Notes and all other sums due and payable under this Indenture or the Notes by the Company and the Guarantors; and (b) the Trustee upon request of the Company contained in an Officer’s Certificate and at the expense of the Company, shall execute such instruments reasonably requested by the Company acknowledging satisfaction and discharge of this Indenture and the Notes, when the Company has delivered to the Trustee an Officer’s Certificate and an Opinion of Counsel, each stating that all conditions precedent herein provided for relating to the satisfaction and discharge of this Indenture and the Notes have been complied with. Notwithstanding the satisfaction and discharge of this Indenture or the earlier resignation or removal of the Trustee, the obligations of the Company and the Guarantors to the Trustee under Section 7.06 shall survive.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4 </w:t>
      </w:r>
    </w:p>
    <w:p>
      <w:pPr>
        <w:pStyle w:val="TextBody"/>
        <w:bidi w:val="0"/>
        <w:spacing w:before="0" w:after="0"/>
        <w:jc w:val="center"/>
        <w:rPr>
          <w:rFonts w:ascii="Times New Roman" w:hAnsi="Times New Roman"/>
          <w:sz w:val="20"/>
        </w:rPr>
      </w:pPr>
      <w:r>
        <w:rPr>
          <w:rFonts w:ascii="Times New Roman" w:hAnsi="Times New Roman"/>
          <w:sz w:val="20"/>
        </w:rPr>
        <w:t xml:space="preserve">PARTICULAR COVENANTS OF THE COMPANY </w:t>
      </w:r>
    </w:p>
    <w:p>
      <w:pPr>
        <w:pStyle w:val="TextBody"/>
        <w:bidi w:val="0"/>
        <w:spacing w:before="240" w:after="0"/>
        <w:jc w:val="left"/>
        <w:rPr>
          <w:rFonts w:ascii="Times New Roman" w:hAnsi="Times New Roman"/>
          <w:sz w:val="20"/>
        </w:rPr>
      </w:pPr>
      <w:r>
        <w:rPr>
          <w:rFonts w:ascii="Times New Roman" w:hAnsi="Times New Roman"/>
          <w:sz w:val="20"/>
        </w:rPr>
        <w:t>Section 4.01</w:t>
      </w:r>
      <w:r>
        <w:rPr>
          <w:rFonts w:ascii="Times New Roman" w:hAnsi="Times New Roman"/>
          <w:i/>
          <w:sz w:val="20"/>
        </w:rPr>
        <w:t>. Payment of Principal and Interest</w:t>
      </w:r>
      <w:r>
        <w:rPr>
          <w:rFonts w:ascii="Times New Roman" w:hAnsi="Times New Roman"/>
          <w:sz w:val="20"/>
        </w:rPr>
        <w:t xml:space="preserve">. The Company covenants and agrees that it will cause to be paid the principal (including the Redemption Price and the Fundamental Change Repurchase Price, if applicable) of, and accrued and unpaid interest on, each of the Notes at the places, at the respective times and in the manner provided herein and in the Notes. </w:t>
      </w:r>
    </w:p>
    <w:p>
      <w:pPr>
        <w:pStyle w:val="TextBody"/>
        <w:bidi w:val="0"/>
        <w:spacing w:before="240" w:after="0"/>
        <w:jc w:val="left"/>
        <w:rPr>
          <w:rFonts w:ascii="Times New Roman" w:hAnsi="Times New Roman"/>
          <w:sz w:val="20"/>
        </w:rPr>
      </w:pPr>
      <w:r>
        <w:rPr>
          <w:rFonts w:ascii="Times New Roman" w:hAnsi="Times New Roman"/>
          <w:sz w:val="20"/>
        </w:rPr>
        <w:t xml:space="preserve">Any applicable withholding taxes (including backup withholding), to the extent required by applicable law, may be withheld from payments of interest on or payments upon conversion, redemption, repurchase or maturity of the Notes, or if any withholding taxes (including backup withholding) are paid on behalf of a Holder or beneficial owner, those withholding taxes may be withheld from or set off against payments of cash or Common Stock, if any, payable on the Notes (or, in some circumstances, any payments on the Common Stock) or sales proceeds received by the Holder or beneficial owner. </w:t>
      </w:r>
    </w:p>
    <w:p>
      <w:pPr>
        <w:pStyle w:val="TextBody"/>
        <w:bidi w:val="0"/>
        <w:spacing w:before="240" w:after="0"/>
        <w:jc w:val="left"/>
        <w:rPr>
          <w:rFonts w:ascii="Times New Roman" w:hAnsi="Times New Roman"/>
          <w:sz w:val="20"/>
        </w:rPr>
      </w:pPr>
      <w:r>
        <w:rPr>
          <w:rFonts w:ascii="Times New Roman" w:hAnsi="Times New Roman"/>
          <w:sz w:val="20"/>
        </w:rPr>
        <w:t>Section 4.02</w:t>
      </w:r>
      <w:r>
        <w:rPr>
          <w:rFonts w:ascii="Times New Roman" w:hAnsi="Times New Roman"/>
          <w:i/>
          <w:sz w:val="20"/>
        </w:rPr>
        <w:t>. Maintenance of Office or Agency</w:t>
      </w:r>
      <w:r>
        <w:rPr>
          <w:rFonts w:ascii="Times New Roman" w:hAnsi="Times New Roman"/>
          <w:sz w:val="20"/>
        </w:rPr>
        <w:t>. The Company will maintain in the continental United States of America an office or agency where the Notes may be surrendered for registration of transfer or exchange or for presentation for payment or repurchase (“</w:t>
      </w:r>
      <w:r>
        <w:rPr>
          <w:rFonts w:ascii="Times New Roman" w:hAnsi="Times New Roman"/>
          <w:b/>
          <w:sz w:val="20"/>
        </w:rPr>
        <w:t>Paying Agent</w:t>
      </w:r>
      <w:r>
        <w:rPr>
          <w:rFonts w:ascii="Times New Roman" w:hAnsi="Times New Roman"/>
          <w:sz w:val="20"/>
        </w:rPr>
        <w:t>”) or for conversion (“</w:t>
      </w:r>
      <w:r>
        <w:rPr>
          <w:rFonts w:ascii="Times New Roman" w:hAnsi="Times New Roman"/>
          <w:b/>
          <w:sz w:val="20"/>
        </w:rPr>
        <w:t>Conversion Agent</w:t>
      </w:r>
      <w:r>
        <w:rPr>
          <w:rFonts w:ascii="Times New Roman" w:hAnsi="Times New Roman"/>
          <w:sz w:val="20"/>
        </w:rPr>
        <w:t xml:space="preserve">”)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designated office or agency of the Trustee in the continental United States of America.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 w:hAnsi="Times New Roman"/>
          <w:i/>
          <w:sz w:val="20"/>
        </w:rPr>
        <w:t>provided</w:t>
      </w:r>
      <w:r>
        <w:rPr>
          <w:rFonts w:ascii="Times New Roman" w:hAnsi="Times New Roman"/>
          <w:sz w:val="20"/>
        </w:rPr>
        <w:t xml:space="preserve"> that no such designation or rescission shall in any manner relieve the Company of its obligation to maintain an office or agency in the continental United States of America for such purposes. The Company will give prompt written notice to the Trustee of any such designation or rescission and of any change in the location of any such other office or agency. The terms “</w:t>
      </w:r>
      <w:r>
        <w:rPr>
          <w:rFonts w:ascii="Times New Roman" w:hAnsi="Times New Roman"/>
          <w:b/>
          <w:sz w:val="20"/>
        </w:rPr>
        <w:t>Paying Agent</w:t>
      </w:r>
      <w:r>
        <w:rPr>
          <w:rFonts w:ascii="Times New Roman" w:hAnsi="Times New Roman"/>
          <w:sz w:val="20"/>
        </w:rPr>
        <w:t>” and “</w:t>
      </w:r>
      <w:r>
        <w:rPr>
          <w:rFonts w:ascii="Times New Roman" w:hAnsi="Times New Roman"/>
          <w:b/>
          <w:sz w:val="20"/>
        </w:rPr>
        <w:t>Conversion Agent</w:t>
      </w:r>
      <w:r>
        <w:rPr>
          <w:rFonts w:ascii="Times New Roman" w:hAnsi="Times New Roman"/>
          <w:sz w:val="20"/>
        </w:rPr>
        <w:t xml:space="preserve">” include any such additional or other offices or agencies, as applicable. The Company may change the Paying Agent or Note Registrar without prior notice to the Holders, and the Company may act as Note Registrar.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initially designates the Trustee as the Paying Agent, Note Registrar, Custodian and Conversion Agent and the Corporate Trust Office as the office or agency in the continental United States of America where Notes may be surrendered for registration of transfer or exchange or for presentation for payment or repurchase or for conversion and where notices and demands to or upon the Company in respect of the Notes and this Indenture may be served; </w:t>
      </w:r>
      <w:r>
        <w:rPr>
          <w:rFonts w:ascii="Times New Roman" w:hAnsi="Times New Roman"/>
          <w:i/>
          <w:sz w:val="20"/>
        </w:rPr>
        <w:t>provided</w:t>
      </w:r>
      <w:r>
        <w:rPr>
          <w:rFonts w:ascii="Times New Roman" w:hAnsi="Times New Roman"/>
          <w:sz w:val="20"/>
        </w:rPr>
        <w:t xml:space="preserve"> that the Trustee shall not be deemed an agent of and the Corporate Trust Office shall not be a place for service of legal process for the Company. </w:t>
      </w:r>
    </w:p>
    <w:p>
      <w:pPr>
        <w:pStyle w:val="TextBody"/>
        <w:bidi w:val="0"/>
        <w:spacing w:before="240" w:after="0"/>
        <w:jc w:val="left"/>
        <w:rPr>
          <w:rFonts w:ascii="Times New Roman" w:hAnsi="Times New Roman"/>
          <w:sz w:val="20"/>
        </w:rPr>
      </w:pPr>
      <w:r>
        <w:rPr>
          <w:rFonts w:ascii="Times New Roman" w:hAnsi="Times New Roman"/>
          <w:sz w:val="20"/>
        </w:rPr>
        <w:t>Section 4.03</w:t>
      </w:r>
      <w:r>
        <w:rPr>
          <w:rFonts w:ascii="Times New Roman" w:hAnsi="Times New Roman"/>
          <w:i/>
          <w:sz w:val="20"/>
        </w:rPr>
        <w:t>. Appointments to Fill Vacancies in Trustee</w:t>
      </w:r>
      <w:r>
        <w:rPr>
          <w:rFonts w:ascii="Times New Roman" w:hAnsi="Times New Roman"/>
          <w:sz w:val="20"/>
        </w:rPr>
        <w:t>’</w:t>
      </w:r>
      <w:r>
        <w:rPr>
          <w:rFonts w:ascii="Times New Roman" w:hAnsi="Times New Roman"/>
          <w:i/>
          <w:sz w:val="20"/>
        </w:rPr>
        <w:t>s Office</w:t>
      </w:r>
      <w:r>
        <w:rPr>
          <w:rFonts w:ascii="Times New Roman" w:hAnsi="Times New Roman"/>
          <w:sz w:val="20"/>
        </w:rPr>
        <w:t xml:space="preserve">. The Company, whenever necessary to avoid or fill a vacancy in the office of Trustee, will appoint, in the manner provided in Section 7.09, a Trustee, so that there shall at all times be a Trustee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4.04</w:t>
      </w:r>
      <w:r>
        <w:rPr>
          <w:rFonts w:ascii="Times New Roman" w:hAnsi="Times New Roman"/>
          <w:i/>
          <w:sz w:val="20"/>
        </w:rPr>
        <w:t>. Provisions as to Paying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the Company shall appoint a Paying Agent other than the Trustee, the Company will cause such Paying Agent to execute and deliver to the Trustee an instrument in which such agent shall agree with the Trustee, subject to the provisions of this Section 4.04: </w:t>
      </w:r>
    </w:p>
    <w:p>
      <w:pPr>
        <w:pStyle w:val="TextBody"/>
        <w:bidi w:val="0"/>
        <w:spacing w:before="120" w:after="0"/>
        <w:jc w:val="left"/>
        <w:rPr>
          <w:rFonts w:ascii="Times New Roman" w:hAnsi="Times New Roman"/>
          <w:sz w:val="20"/>
        </w:rPr>
      </w:pPr>
      <w:r>
        <w:rPr>
          <w:rFonts w:ascii="Times New Roman" w:hAnsi="Times New Roman"/>
          <w:sz w:val="20"/>
        </w:rPr>
        <w:t xml:space="preserve">(i) that it will hold all sums held by it as such agent for the payment of the principal (including the Redemption Price, the Fundamental Change Repurchase Price, if applicable) of, and accrued and unpaid interest on, the Notes in trust for the benefit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(ii) that it will give the Trustee prompt written notice of any failure by the Company to make any payment of the principal (including the Redemption Price, the Fundamental Change Repurchase Price, if applicable) of, and accrued and unpaid interest on, the Notes when the same shall be due and payable; and </w:t>
      </w:r>
    </w:p>
    <w:p>
      <w:pPr>
        <w:pStyle w:val="TextBody"/>
        <w:bidi w:val="0"/>
        <w:spacing w:before="120" w:after="0"/>
        <w:jc w:val="left"/>
        <w:rPr>
          <w:rFonts w:ascii="Times New Roman" w:hAnsi="Times New Roman"/>
          <w:sz w:val="20"/>
        </w:rPr>
      </w:pPr>
      <w:r>
        <w:rPr>
          <w:rFonts w:ascii="Times New Roman" w:hAnsi="Times New Roman"/>
          <w:sz w:val="20"/>
        </w:rPr>
        <w:t xml:space="preserve">(iii) that at any time during the continuance of an Event of Default, upon request of the Trustee, it will forthwith pay to the Trustee all sums so held in trust.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on or before each due date of the principal (including the Redemption Price, the Fundamental Change Repurchase Price, if applicable) of, or any accrued and unpaid interest on, the Notes, deposit with the Paying Agent a sum sufficient to pay such principal (including the Redemption Price, the Fundamental Change Repurchase Price, if applicable) or such accrued and unpaid interest and (unless such Paying Agent is the Trustee) the Company will promptly notify the Trustee in writing of any failure to take such action; </w:t>
      </w:r>
      <w:r>
        <w:rPr>
          <w:rFonts w:ascii="Times New Roman" w:hAnsi="Times New Roman"/>
          <w:i/>
          <w:sz w:val="20"/>
        </w:rPr>
        <w:t>provided</w:t>
      </w:r>
      <w:r>
        <w:rPr>
          <w:rFonts w:ascii="Times New Roman" w:hAnsi="Times New Roman"/>
          <w:sz w:val="20"/>
        </w:rPr>
        <w:t xml:space="preserve"> that if such deposit is made on the due date, such deposit must be received by the Paying Agent by 11:00 a.m., New York City time, on such date. </w:t>
      </w:r>
    </w:p>
    <w:p>
      <w:pPr>
        <w:pStyle w:val="TextBody"/>
        <w:bidi w:val="0"/>
        <w:spacing w:before="240" w:after="0"/>
        <w:jc w:val="left"/>
        <w:rPr>
          <w:rFonts w:ascii="Times New Roman" w:hAnsi="Times New Roman"/>
          <w:sz w:val="20"/>
        </w:rPr>
      </w:pPr>
      <w:r>
        <w:rPr>
          <w:rFonts w:ascii="Times New Roman" w:hAnsi="Times New Roman"/>
          <w:sz w:val="20"/>
        </w:rPr>
        <w:t xml:space="preserve">(b) If the Company shall act as its own Paying Agent, it will, on or before each due date of the principal (including the Redemption Price, the Fundamental Change Repurchase Price, if applicable) of, and accrued and unpaid interest on, the Notes, set aside, segregate and hold in trust for the benefit of the Holders a sum sufficient to pay such principal (including the Redemption Price, the Fundamental Change Repurchase Price, if applicable) and any such accrued and unpaid interest so becoming due and will promptly notify the Trustee in writing of any failure to take such action and of any failure by the Company to make any payment of the principal (including the Redemption Price, the Fundamental Change Repurchase Price, if applicable) of, or accrued and unpaid interest on, the Notes when the same shall become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(c) 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delivery by the Company or any Paying Agent to the Trustee, the Company or such Paying Agent shall be released from all further liability but only with respect to such sums or amounts. Upon the occurrence of any event specified in Section 6.01(h) or Section 6.01(i), the Trustee shall automatically become the Paying Agent. </w:t>
      </w:r>
    </w:p>
    <w:p>
      <w:pPr>
        <w:pStyle w:val="TextBody"/>
        <w:bidi w:val="0"/>
        <w:spacing w:before="240" w:after="0"/>
        <w:jc w:val="left"/>
        <w:rPr>
          <w:rFonts w:ascii="Times New Roman" w:hAnsi="Times New Roman"/>
          <w:sz w:val="20"/>
        </w:rPr>
      </w:pPr>
      <w:r>
        <w:rPr>
          <w:rFonts w:ascii="Times New Roman" w:hAnsi="Times New Roman"/>
          <w:sz w:val="20"/>
        </w:rPr>
        <w:t xml:space="preserve">(d) Subject to applicable escheatment laws, any money and shares of Common Stock deposited with the Trustee, Conversion Agent or any Paying Agent, or then held by the Company, in trust for the payment of the principal (including the Redemption Price, the Fundamental Change Repurchase Price, if applicable) of, accrued and unpaid interest on and the consideration due upon conversion of any Note and remaining unclaimed for two years after such principal (including the Redemption Price, the Fundamental Change Repurchase Price, if applicable), interest or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and the Guarantors for payment thereof, and all liability of the Trustee or such Paying Agent with respect to such trust money and shares of Common Stock, and all liability of the Company as trustee thereof, shall thereupon cease. </w:t>
      </w:r>
    </w:p>
    <w:p>
      <w:pPr>
        <w:pStyle w:val="TextBody"/>
        <w:bidi w:val="0"/>
        <w:spacing w:before="240" w:after="0"/>
        <w:jc w:val="left"/>
        <w:rPr>
          <w:rFonts w:ascii="Times New Roman" w:hAnsi="Times New Roman"/>
          <w:sz w:val="20"/>
        </w:rPr>
      </w:pPr>
      <w:r>
        <w:rPr>
          <w:rFonts w:ascii="Times New Roman" w:hAnsi="Times New Roman"/>
          <w:sz w:val="20"/>
        </w:rPr>
        <w:t>Section 4.05</w:t>
      </w:r>
      <w:r>
        <w:rPr>
          <w:rFonts w:ascii="Times New Roman" w:hAnsi="Times New Roman"/>
          <w:i/>
          <w:sz w:val="20"/>
        </w:rPr>
        <w:t>. Existence</w:t>
      </w:r>
      <w:r>
        <w:rPr>
          <w:rFonts w:ascii="Times New Roman" w:hAnsi="Times New Roman"/>
          <w:sz w:val="20"/>
        </w:rPr>
        <w:t xml:space="preserve">. Subject to Article 11, the Company shall do or cause to be done all things necessary to preserve and keep in full force and effect its corporate existence. </w:t>
      </w:r>
    </w:p>
    <w:p>
      <w:pPr>
        <w:pStyle w:val="TextBody"/>
        <w:bidi w:val="0"/>
        <w:spacing w:before="240" w:after="0"/>
        <w:jc w:val="left"/>
        <w:rPr>
          <w:rFonts w:ascii="Times New Roman" w:hAnsi="Times New Roman"/>
          <w:sz w:val="20"/>
        </w:rPr>
      </w:pPr>
      <w:r>
        <w:rPr>
          <w:rFonts w:ascii="Times New Roman" w:hAnsi="Times New Roman"/>
          <w:sz w:val="20"/>
        </w:rPr>
        <w:t>Section 4.06</w:t>
      </w:r>
      <w:r>
        <w:rPr>
          <w:rFonts w:ascii="Times New Roman" w:hAnsi="Times New Roman"/>
          <w:i/>
          <w:sz w:val="20"/>
        </w:rPr>
        <w:t>. Rule 144A Information Requirement and Annual Reports.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any time the Company is not subject to Section 13 or 15(d) of the Exchange Act, the Company shall, so long as any of the Notes or any shares of Common Stock issuable upon conversion thereof shall, at such time, constitute “restricted securities” within the meaning of Rule 144(a)(3) under the Securities Act, promptly provide to the Trustee and, upon written request, any Holder, beneficial owner or prospective purchaser of such Notes or any shares of Common Stock issuable upon conversion of such Notes, the information required to be delivered pursuant to Rule 144A(d)(4) under the Securities Act to facilitate the resale of such Notes or shares of Common Stock pursuant to Rule 144A.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file with the Trustee, within 15 days after the same are required to be filed with the Commission, copies of any annual or quarterly reports (on Form 10-K or Form 10-Q or any respective successor form) that the Company is required to file with the Commission pursuant to Section 13 or 15(d) of the Exchange Act (excluding any such information, documents or reports, or portions thereof, subject to confidential treatment and any correspondence with the Commission, and after giving effect to any grace period provided by Rule 12b-25 under the Exchange Act (or any successor thereto), which grace period, for the avoidance of doubt, shall be deemed applicable whether or not the Company checks the box in the relevant Rule 12b-25 filing indicating that the Company expects to file such report within the applicable Rule 12b-25 grace period). Any such document or report that the Company files with the Commission via the Commission’s EDGAR system (or any successor system) shall be deemed to be filed with the Trustee for purposes of this Section 4.06(b) at the time such documents or reports are filed via the EDGAR system (or such successor), it being understood that the Trustee shall not be responsible for determining whether such filings have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Delivery of the reports, information and documents described in Section 4.06(b) to the Trustee is for informational purposes only, and the information and the Trustee’s receipt of such shall not constitute actual or constructive notice of any information contained therein or determinable from information contained therein, including the Company’s and the Guarantor’s compliance with any of their respective covenants hereunder (as to which the Trustee is entitled to conclusively rely on an Officer’s Certificate). The Trustee shall have no liability or responsibility for the filing, timeliness, or content of such reports. The Trustee shall not be obligated to monitor or confirm, on a continuing basis or otherwise, the Company’s compliance with the covenants or with respect to any reports or other documents filed with the Commission or posted to any website or participate in any conference calls. </w:t>
      </w:r>
    </w:p>
    <w:p>
      <w:pPr>
        <w:pStyle w:val="TextBody"/>
        <w:bidi w:val="0"/>
        <w:spacing w:before="240" w:after="0"/>
        <w:jc w:val="left"/>
        <w:rPr>
          <w:rFonts w:ascii="Times New Roman" w:hAnsi="Times New Roman"/>
          <w:sz w:val="20"/>
        </w:rPr>
      </w:pPr>
      <w:r>
        <w:rPr>
          <w:rFonts w:ascii="Times New Roman" w:hAnsi="Times New Roman"/>
          <w:sz w:val="20"/>
        </w:rPr>
        <w:t xml:space="preserve">(d) If, at any time after the date that is six months after the last date of original issuance of the Notes, the Company fails to timely file any document or report that it is required to file with the Commission pursuant to Section 13 or 15(d) of the Exchange Act, as applicable, during the preceding 12 months (after giving effect to all applicable grace periods thereunder (including any grace period provided by Rule 12b-25 (or any successor rule), which grace period for the avoidance of doubt, shall be deemed applicable whether or not the Company checks the box in the relevant Rule 12b-25 filing indicating the Company expects to file such report within the applicable Rule 12b-25 grace period) and other than current reports on Form 8-K), or the Notes are not otherwise freely tradable pursuant to Rule 144 by Holders other than the Company’s Affiliates or Holders that were the Company’s Affiliates at any time during the three months immediately preceding (as a result of restrictions pursuant to U.S. securities laws or the terms of this Indenture or the Notes), the Company shall pay Additional Interest on the Notes. Such Additional Interest shall accrue on the Notes at the rate of 0.50% per annum of the principal amount of the Notes outstanding for each day during such period for which the Company’s failure to file has occurred and is continuing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(e)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Additional Interest will be payable in arrears on each Interest Payment Date following accrual in the same manner as regular interest on the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 failure to file giving rise to the Company’s obligation to pay Additional Interest pursuant to Section 4.06(d) initially occurs on or after the close of business on a Regular Record Date and prior to the open of business on the corresponding Interest Payment Date, the Additional Interest that accrues during such period will be due on the Interest Payment Date next succeeding such corresponding Interest Payment Date, and no interest shall accrue in respect of such delay. </w:t>
      </w:r>
    </w:p>
    <w:p>
      <w:pPr>
        <w:pStyle w:val="TextBody"/>
        <w:bidi w:val="0"/>
        <w:spacing w:before="240" w:after="0"/>
        <w:jc w:val="left"/>
        <w:rPr>
          <w:rFonts w:ascii="Times New Roman" w:hAnsi="Times New Roman"/>
          <w:sz w:val="20"/>
        </w:rPr>
      </w:pPr>
      <w:r>
        <w:rPr>
          <w:rFonts w:ascii="Times New Roman" w:hAnsi="Times New Roman"/>
          <w:sz w:val="20"/>
        </w:rPr>
        <w:t xml:space="preserve">(g) Subject to the immediately succeeding sentence, the Additional Interest that is payable in accordance with Section 4.06(d) shall be in addition to, and not in lieu of, any Additional Interest that may be payable as a result of the Company’s election pursuant to Section 6.03. However, in no event shall Additional Interest payable for the Company’s failure to comply with its obligations to timely file any document or report that the Company is required to file with the Commission pursuant to Section 13 or 15(d) of the Exchange Act, as applicable (after giving effect to all applicable grace periods thereunder (including any grace period provided by Rule 12b-25 (or any successor rule, which grace period, for the avoidance of doubt, shall be deemed applicable whether or not the Company checks the box in the relevant Rule 12b-25 filing indicating the Company expects to file such report within the applicable Rule 12b-25 grace period)) and other than current reports on Form 8-K), as set forth in Section 4.06(d), together with any Additional Interest that may accrue at the Company’s election as a result of the Company’s failure to comply with its reporting obligations pursuant to Section 6.03, accrue at a rate in excess of 0.50% per annum pursuant to this Indenture, regardless of the number of events or circumstances giving rise to the requirement to pay such Additional Interest. </w:t>
      </w:r>
    </w:p>
    <w:p>
      <w:pPr>
        <w:pStyle w:val="TextBody"/>
        <w:bidi w:val="0"/>
        <w:spacing w:before="240" w:after="0"/>
        <w:jc w:val="left"/>
        <w:rPr>
          <w:rFonts w:ascii="Times New Roman" w:hAnsi="Times New Roman"/>
          <w:sz w:val="20"/>
        </w:rPr>
      </w:pPr>
      <w:r>
        <w:rPr>
          <w:rFonts w:ascii="Times New Roman" w:hAnsi="Times New Roman"/>
          <w:sz w:val="20"/>
        </w:rPr>
        <w:t xml:space="preserve">(h) If Additional Interest is payable by the Company pursuant to Section 4.06(d), the Company shall deliver to the Trustee an Officer’s Certificate to that effect stating (i) the amount of such Additional Interest that is payable and (ii) the date on which such Additional Interest is payable. Unless and until a Responsible Officer of the Trustee receives at the Corporate Trust Office such Officer’s Certificate, the Trustee may conclusively assume without inquiry that no such Additional Interest is payable. If the Company has paid Additional Interest directly to the Persons entitled to it, the Company shall deliver to the Trustee an Officer’s Certificate setting forth the particulars of such payment. </w:t>
      </w:r>
    </w:p>
    <w:p>
      <w:pPr>
        <w:pStyle w:val="TextBody"/>
        <w:bidi w:val="0"/>
        <w:spacing w:before="240" w:after="0"/>
        <w:jc w:val="left"/>
        <w:rPr>
          <w:rFonts w:ascii="Times New Roman" w:hAnsi="Times New Roman"/>
          <w:sz w:val="20"/>
        </w:rPr>
      </w:pPr>
      <w:r>
        <w:rPr>
          <w:rFonts w:ascii="Times New Roman" w:hAnsi="Times New Roman"/>
          <w:sz w:val="20"/>
        </w:rPr>
        <w:t xml:space="preserve">(i) Without limiting the generality of Section 2.05(c) or Section 2.05(d), if a Holder of any Note or a holder of any share of Common Stock issued upon conversion of any Note or upon the payment of Share Interest, or an owner of a beneficial interest in any Global Note, or in a global certificate representing any share of Common Stock issued upon conversion of any Note or upon the payment of Share Interest, transfers such Note or share of Common Stock in compliance with Rule 144 and delivers to the Company a written request, certifying that it is not, and has not been at any time during the preceding three months, an Affiliate of the Company, to reissue such Note or share of Common Stock without a restrictive legend, then the Company shall cause the same to occur promptly following such request (and, if applicable, cause such Note or share of Common Stock to thereafter be represented by an “unrestricted” CUSIP number in the facilities of the related Depositary), and the Company shall use its commercially reasonable efforts to cause such occurrence within two Trading Days of such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4.07</w:t>
      </w:r>
      <w:r>
        <w:rPr>
          <w:rFonts w:ascii="Times New Roman" w:hAnsi="Times New Roman"/>
          <w:i/>
          <w:sz w:val="20"/>
        </w:rPr>
        <w:t>. Stay, Extension and Usury Laws</w:t>
      </w:r>
      <w:r>
        <w:rPr>
          <w:rFonts w:ascii="Times New Roman" w:hAnsi="Times New Roman"/>
          <w:sz w:val="20"/>
        </w:rPr>
        <w:t xml:space="preserve">. Each of the Company and each Guarantor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any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 </w:t>
      </w:r>
    </w:p>
    <w:p>
      <w:pPr>
        <w:pStyle w:val="TextBody"/>
        <w:bidi w:val="0"/>
        <w:spacing w:before="240" w:after="0"/>
        <w:jc w:val="left"/>
        <w:rPr>
          <w:rFonts w:ascii="Times New Roman" w:hAnsi="Times New Roman"/>
          <w:sz w:val="20"/>
        </w:rPr>
      </w:pPr>
      <w:r>
        <w:rPr>
          <w:rFonts w:ascii="Times New Roman" w:hAnsi="Times New Roman"/>
          <w:sz w:val="20"/>
        </w:rPr>
        <w:t>Section 4.08</w:t>
      </w:r>
      <w:r>
        <w:rPr>
          <w:rFonts w:ascii="Times New Roman" w:hAnsi="Times New Roman"/>
          <w:i/>
          <w:sz w:val="20"/>
        </w:rPr>
        <w:t>. Compliance Certificate; Statements as to Defaults</w:t>
      </w:r>
      <w:r>
        <w:rPr>
          <w:rFonts w:ascii="Times New Roman" w:hAnsi="Times New Roman"/>
          <w:sz w:val="20"/>
        </w:rPr>
        <w:t xml:space="preserve">. The Company shall deliver to the Trustee within 120 days after the end of each fiscal year of the Company an Officer’s Certificate stating whether the signers thereof have knowledge of any Event of Default that occurred during the previous year and, if so, specifying each such Event of Default and the nature thereof.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shall deliver to the Trustee, within 30 days after an Officer of the Company obtains knowledge of the occurrence of any Event of Default or Default, an Officer’s Certificate setting forth the details of such Event of Default or Default, its status and the action that the Company is taking or proposing to take in respect thereof; </w:t>
      </w:r>
      <w:r>
        <w:rPr>
          <w:rFonts w:ascii="Times New Roman" w:hAnsi="Times New Roman"/>
          <w:i/>
          <w:sz w:val="20"/>
        </w:rPr>
        <w:t>provided</w:t>
      </w:r>
      <w:r>
        <w:rPr>
          <w:rFonts w:ascii="Times New Roman" w:hAnsi="Times New Roman"/>
          <w:sz w:val="20"/>
        </w:rPr>
        <w:t xml:space="preserve"> that the Company is not required to deliver such notice if such Event of Default or Default has been cured or is no longer continuing. </w:t>
      </w:r>
    </w:p>
    <w:p>
      <w:pPr>
        <w:pStyle w:val="TextBody"/>
        <w:bidi w:val="0"/>
        <w:spacing w:before="240" w:after="0"/>
        <w:jc w:val="left"/>
        <w:rPr>
          <w:rFonts w:ascii="Times New Roman" w:hAnsi="Times New Roman"/>
          <w:sz w:val="20"/>
        </w:rPr>
      </w:pPr>
      <w:r>
        <w:rPr>
          <w:rFonts w:ascii="Times New Roman" w:hAnsi="Times New Roman"/>
          <w:sz w:val="20"/>
        </w:rPr>
        <w:t>Section 4.09</w:t>
      </w:r>
      <w:r>
        <w:rPr>
          <w:rFonts w:ascii="Times New Roman" w:hAnsi="Times New Roman"/>
          <w:i/>
          <w:sz w:val="20"/>
        </w:rPr>
        <w:t>. Further Instruments and Acts</w:t>
      </w:r>
      <w:r>
        <w:rPr>
          <w:rFonts w:ascii="Times New Roman" w:hAnsi="Times New Roman"/>
          <w:sz w:val="20"/>
        </w:rPr>
        <w:t xml:space="preserve">. Upon request of the Trustee, the Company will execute and deliver such further instruments and do such further acts as may be reasonably necessary or proper to carry out more effectively the purposes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i/>
          <w:sz w:val="20"/>
        </w:rPr>
        <w:t>Future Guarantors</w:t>
      </w:r>
      <w:r>
        <w:rPr>
          <w:rFonts w:ascii="Times New Roman" w:hAnsi="Times New Roman"/>
          <w:sz w:val="20"/>
        </w:rPr>
        <w:t xml:space="preserve">. The Company shall cause any Material Domestic Subsidiary that is not a Guarantor to become a Guarantor and provide a Note Guarantee of the Obligations. Within 60 days of becoming required to be a Guarantor, such Guarantor shall execute and deliver to the Trustee a supplemental indenture in the form attached to this Indenture as Exhibit B, pursuant to which such Subsidiary will provide a Note Guarantee. </w:t>
      </w:r>
    </w:p>
    <w:p>
      <w:pPr>
        <w:pStyle w:val="TextBody"/>
        <w:bidi w:val="0"/>
        <w:spacing w:before="240" w:after="0"/>
        <w:jc w:val="left"/>
        <w:rPr>
          <w:rFonts w:ascii="Times New Roman" w:hAnsi="Times New Roman"/>
          <w:sz w:val="20"/>
        </w:rPr>
      </w:pPr>
      <w:r>
        <w:rPr>
          <w:rFonts w:ascii="Times New Roman" w:hAnsi="Times New Roman"/>
          <w:sz w:val="20"/>
        </w:rPr>
        <w:t xml:space="preserve">Section 4.11 </w:t>
      </w:r>
      <w:r>
        <w:rPr>
          <w:rFonts w:ascii="Times New Roman" w:hAnsi="Times New Roman"/>
          <w:i/>
          <w:sz w:val="20"/>
        </w:rPr>
        <w:t>Transactions with Shareholders and Affiliates</w:t>
      </w:r>
      <w:r>
        <w:rPr>
          <w:rFonts w:ascii="Times New Roman" w:hAnsi="Times New Roman"/>
          <w:sz w:val="20"/>
        </w:rPr>
        <w:t xml:space="preserve"> The Company shall not, and shall not permit any of its Subsidiaries to, directly or indirectly, enter into or permit to exist any transaction (including the purchase, sale, lease or exchange of any property or the rendering of any service) with any holder of 12.5% or more of any class of equity Securities of the Company or with any Affiliate of the Company or of any such holder, on terms that are less favorable to the Company or that Subsidiary, as the case may be, than those that might be obtained at the time from Persons who are not such a holder or Affiliate; provided that the foregoing restriction shall not apply to (i) any transaction between the Company and any of its Wholly Owned Subsidiaries or between any of its Wholly Owned Subsidiaries, (ii) reasonable and customary fees paid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members of the Governing Bodies of the Company and its Subsidiaries, (iii) any agreement as in effect as of the date of this Indenture and listed on Schedule 4.11 or any amendment thereto (so long as any such amendment is not disadvantageous in any material respect to the Holders when taken as a whole as compared to the applicable agreement as in effect on the date of this Indenture), (iv) the payment of reasonable and customary fees paid to, and indemnities provided on behalf of, officers, directors, employees or members of management of the Company or any of its Subsidiaries (and entry into agreements to make such payments and/or indemnities), (v) the issuance and sale of, and dividends and distributions on, Common Stock, and (vi) the issuance and sale of, and payment and performance of the Note Obligations. </w:t>
      </w:r>
    </w:p>
    <w:p>
      <w:pPr>
        <w:pStyle w:val="TextBody"/>
        <w:bidi w:val="0"/>
        <w:spacing w:before="240" w:after="0"/>
        <w:jc w:val="center"/>
        <w:rPr>
          <w:rFonts w:ascii="Times New Roman" w:hAnsi="Times New Roman"/>
          <w:sz w:val="20"/>
        </w:rPr>
      </w:pPr>
      <w:r>
        <w:rPr>
          <w:rFonts w:ascii="Times New Roman" w:hAnsi="Times New Roman"/>
          <w:sz w:val="20"/>
        </w:rPr>
        <w:t xml:space="preserve">ARTICLE 5 </w:t>
      </w:r>
    </w:p>
    <w:p>
      <w:pPr>
        <w:pStyle w:val="TextBody"/>
        <w:bidi w:val="0"/>
        <w:spacing w:before="0" w:after="0"/>
        <w:jc w:val="center"/>
        <w:rPr>
          <w:rFonts w:ascii="Times New Roman" w:hAnsi="Times New Roman"/>
          <w:sz w:val="20"/>
        </w:rPr>
      </w:pPr>
      <w:r>
        <w:rPr>
          <w:rFonts w:ascii="Times New Roman" w:hAnsi="Times New Roman"/>
          <w:sz w:val="20"/>
        </w:rPr>
        <w:t xml:space="preserve">LISTS OF HOLDERS AND REPORTS BY THE COMPANY AND THE TRUSTEE </w:t>
      </w:r>
    </w:p>
    <w:p>
      <w:pPr>
        <w:pStyle w:val="TextBody"/>
        <w:bidi w:val="0"/>
        <w:spacing w:before="240" w:after="0"/>
        <w:jc w:val="left"/>
        <w:rPr>
          <w:rFonts w:ascii="Times New Roman" w:hAnsi="Times New Roman"/>
          <w:sz w:val="20"/>
        </w:rPr>
      </w:pPr>
      <w:r>
        <w:rPr>
          <w:rFonts w:ascii="Times New Roman" w:hAnsi="Times New Roman"/>
          <w:sz w:val="20"/>
        </w:rPr>
        <w:t>Section 5.01</w:t>
      </w:r>
      <w:r>
        <w:rPr>
          <w:rFonts w:ascii="Times New Roman" w:hAnsi="Times New Roman"/>
          <w:i/>
          <w:sz w:val="20"/>
        </w:rPr>
        <w:t>. Lists of Holders</w:t>
      </w:r>
      <w:r>
        <w:rPr>
          <w:rFonts w:ascii="Times New Roman" w:hAnsi="Times New Roman"/>
          <w:sz w:val="20"/>
        </w:rPr>
        <w:t xml:space="preserve">. The Company covenants and agrees that it will furnish or cause to be furnished to the Trustee and any Paying Agent (if other than the Trustee), semi-annually, not more than 15 days after each May 1 and November 1 in each year beginning with May 1, 2026,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 </w:t>
      </w:r>
    </w:p>
    <w:p>
      <w:pPr>
        <w:pStyle w:val="TextBody"/>
        <w:bidi w:val="0"/>
        <w:spacing w:before="240" w:after="0"/>
        <w:jc w:val="left"/>
        <w:rPr>
          <w:rFonts w:ascii="Times New Roman" w:hAnsi="Times New Roman"/>
          <w:sz w:val="20"/>
        </w:rPr>
      </w:pPr>
      <w:r>
        <w:rPr>
          <w:rFonts w:ascii="Times New Roman" w:hAnsi="Times New Roman"/>
          <w:sz w:val="20"/>
        </w:rPr>
        <w:t>Section 5.02</w:t>
      </w:r>
      <w:r>
        <w:rPr>
          <w:rFonts w:ascii="Times New Roman" w:hAnsi="Times New Roman"/>
          <w:i/>
          <w:sz w:val="20"/>
        </w:rPr>
        <w:t>. Preservation and Disclosure of Lists</w:t>
      </w:r>
      <w:r>
        <w:rPr>
          <w:rFonts w:ascii="Times New Roman" w:hAnsi="Times New Roman"/>
          <w:sz w:val="20"/>
        </w:rPr>
        <w:t xml:space="preserve">.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dispose of any list furnished to it as provided in Section 5.01 upon receipt of a new list so furnished. </w:t>
      </w:r>
    </w:p>
    <w:p>
      <w:pPr>
        <w:pStyle w:val="TextBody"/>
        <w:bidi w:val="0"/>
        <w:spacing w:before="240" w:after="0"/>
        <w:jc w:val="center"/>
        <w:rPr>
          <w:rFonts w:ascii="Times New Roman" w:hAnsi="Times New Roman"/>
          <w:sz w:val="20"/>
        </w:rPr>
      </w:pPr>
      <w:r>
        <w:rPr>
          <w:rFonts w:ascii="Times New Roman" w:hAnsi="Times New Roman"/>
          <w:sz w:val="20"/>
        </w:rPr>
        <w:t xml:space="preserve">ARTICLE 6 </w:t>
      </w:r>
    </w:p>
    <w:p>
      <w:pPr>
        <w:pStyle w:val="TextBody"/>
        <w:bidi w:val="0"/>
        <w:spacing w:before="0" w:after="0"/>
        <w:jc w:val="center"/>
        <w:rPr>
          <w:rFonts w:ascii="Times New Roman" w:hAnsi="Times New Roman"/>
          <w:sz w:val="20"/>
        </w:rPr>
      </w:pPr>
      <w:r>
        <w:rPr>
          <w:rFonts w:ascii="Times New Roman" w:hAnsi="Times New Roman"/>
          <w:sz w:val="20"/>
        </w:rPr>
        <w:t xml:space="preserve">DEFAULTS AND REMEDIES </w:t>
      </w:r>
    </w:p>
    <w:p>
      <w:pPr>
        <w:pStyle w:val="TextBody"/>
        <w:bidi w:val="0"/>
        <w:spacing w:before="240" w:after="0"/>
        <w:jc w:val="left"/>
        <w:rPr>
          <w:rFonts w:ascii="Times New Roman" w:hAnsi="Times New Roman"/>
          <w:sz w:val="20"/>
        </w:rPr>
      </w:pPr>
      <w:r>
        <w:rPr>
          <w:rFonts w:ascii="Times New Roman" w:hAnsi="Times New Roman"/>
          <w:sz w:val="20"/>
        </w:rPr>
        <w:t>Section 6.01</w:t>
      </w:r>
      <w:r>
        <w:rPr>
          <w:rFonts w:ascii="Times New Roman" w:hAnsi="Times New Roman"/>
          <w:i/>
          <w:sz w:val="20"/>
        </w:rPr>
        <w:t>. Events of Default.</w:t>
      </w:r>
      <w:r>
        <w:rPr>
          <w:rFonts w:ascii="Times New Roman" w:hAnsi="Times New Roman"/>
          <w:sz w:val="20"/>
        </w:rPr>
        <w:t xml:space="preserve"> Each of the following events shall be an “</w:t>
      </w:r>
      <w:r>
        <w:rPr>
          <w:rFonts w:ascii="Times New Roman" w:hAnsi="Times New Roman"/>
          <w:b/>
          <w:sz w:val="20"/>
        </w:rPr>
        <w:t>Event of Default</w:t>
      </w:r>
      <w:r>
        <w:rPr>
          <w:rFonts w:ascii="Times New Roman" w:hAnsi="Times New Roman"/>
          <w:sz w:val="20"/>
        </w:rPr>
        <w:t xml:space="preserve">”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(a) default in the payment of principal of or any premium on any Note when due and payable on the Maturity Date, upon Optional Redemption, upon any required repurchase, upon declaration of acceleration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default in any payment of (i) interest on any Note when due and payable, and the default continues for a period of 10 days or (ii) any fees, expenses, indemnification payments or other amounts due to the Holders pursuant to the Note Documents and the default continues for a period of 30 days; </w:t>
      </w:r>
    </w:p>
    <w:p>
      <w:pPr>
        <w:pStyle w:val="TextBody"/>
        <w:bidi w:val="0"/>
        <w:spacing w:before="240" w:after="0"/>
        <w:jc w:val="left"/>
        <w:rPr>
          <w:rFonts w:ascii="Times New Roman" w:hAnsi="Times New Roman"/>
          <w:sz w:val="20"/>
        </w:rPr>
      </w:pPr>
      <w:r>
        <w:rPr>
          <w:rFonts w:ascii="Times New Roman" w:hAnsi="Times New Roman"/>
          <w:sz w:val="20"/>
        </w:rPr>
        <w:t xml:space="preserve">(c) failure by the Company to comply with its obligation to convert the Notes in accordance with this Indenture upon exercise of a Holder’s conversion right and such failure continues for three Business Days; </w:t>
      </w:r>
    </w:p>
    <w:p>
      <w:pPr>
        <w:pStyle w:val="TextBody"/>
        <w:bidi w:val="0"/>
        <w:spacing w:before="240" w:after="0"/>
        <w:jc w:val="left"/>
        <w:rPr>
          <w:rFonts w:ascii="Times New Roman" w:hAnsi="Times New Roman"/>
          <w:sz w:val="20"/>
        </w:rPr>
      </w:pPr>
      <w:r>
        <w:rPr>
          <w:rFonts w:ascii="Times New Roman" w:hAnsi="Times New Roman"/>
          <w:sz w:val="20"/>
        </w:rPr>
        <w:t xml:space="preserve">(d) failure by the Company to give a Fundamental Change Company Notice in accordance with Section 15.02(c) or notice of a Make-Whole Fundamental Change in accordance with Section 14.03(b), in either case when due and such failure continues for four Business Days; </w:t>
      </w:r>
    </w:p>
    <w:p>
      <w:pPr>
        <w:pStyle w:val="TextBody"/>
        <w:bidi w:val="0"/>
        <w:spacing w:before="240" w:after="0"/>
        <w:jc w:val="left"/>
        <w:rPr>
          <w:rFonts w:ascii="Times New Roman" w:hAnsi="Times New Roman"/>
          <w:sz w:val="20"/>
        </w:rPr>
      </w:pPr>
      <w:r>
        <w:rPr>
          <w:rFonts w:ascii="Times New Roman" w:hAnsi="Times New Roman"/>
          <w:sz w:val="20"/>
        </w:rPr>
        <w:t xml:space="preserve">(e) failure by the Company or any Guarantor to comply with its obligations under Section 4.10, Section 4.11, Article 11 or Article 13; </w:t>
      </w:r>
    </w:p>
    <w:p>
      <w:pPr>
        <w:pStyle w:val="TextBody"/>
        <w:bidi w:val="0"/>
        <w:spacing w:before="240" w:after="0"/>
        <w:jc w:val="left"/>
        <w:rPr>
          <w:rFonts w:ascii="Times New Roman" w:hAnsi="Times New Roman"/>
          <w:sz w:val="20"/>
        </w:rPr>
      </w:pPr>
      <w:r>
        <w:rPr>
          <w:rFonts w:ascii="Times New Roman" w:hAnsi="Times New Roman"/>
          <w:sz w:val="20"/>
        </w:rPr>
        <w:t xml:space="preserve">(f) failure by the Company or any Guarantor to comply with any of its other agreements contained in the Note Documents to which it is a party, and such default shall not have been remedied or waived within 30 days after the earlier of (i) an Officer of the Company or Guarantor becoming aware of such default or (ii) receipt by the Company of notice thereof from for the Trustee or the Holders of at least 25% in principal amount of the Notes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(g) default by the Company, any Guarantor or any Significant Subsidiary of the Company with respect to any mortgage, agreement or other instrument under which there may be outstanding, or by which there may be secured or evidenced, any indebtedness for money borrowed with a principal amount in excess of $15,000,000 (or its foreign currency equivalent) in the aggregate of the Company, the Guarantor and/or any such Significant Subsidiary, whether such indebtedness now exists or shall hereafter be created (i) if the effect of such default is to cause such indebtedness to become declared due and payable prior to its stated maturity date or (ii) constituting a failure to pay the principal of or interest on any such debt when due and payable (after the expiration of all applicable grace periods) whether at its stated maturity, upon required repurchase or repayment,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10 days after the earlier of (i) an Officer of the Company becoming aware of such default or (ii) receipt by the Company of notice thereof from the Trustee or the Holders of at least 25% in principal amount of the Notes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(h) the Company, any Guarantor or any Significant Subsidiary shall commence a voluntary case or other proceeding seeking liquidation, reorganization or other relief with respect to the Company, any Guarantor or any such Significant Subsidiary or its debts under any bankruptcy, insolvency or other similar law now or hereafter in effect or seeking the appointment of a trustee, receiver, liquidator, custodian or other similar official of the Company, any Guarantor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an involuntary case or other proceeding shall be commenced against the Company, any Guarantor or any Significant Subsidiary seeking liquidation, reorganization or other relief with respect to the Company, any Guarantor or such Significant Subsidiary or its debts under any bankruptcy, insolvency or other similar law now or hereafter in effect or seeking the appointment of a trustee, receiver, liquidator, custodian or other similar official of the Company, any Guarantor or such Significant Subsidiary or any substantial part of its property, and such involuntary case or other proceeding shall remain undismissed and unstayed for a period of 60 consecutive days; </w:t>
      </w:r>
    </w:p>
    <w:p>
      <w:pPr>
        <w:pStyle w:val="TextBody"/>
        <w:bidi w:val="0"/>
        <w:spacing w:before="240" w:after="0"/>
        <w:jc w:val="left"/>
        <w:rPr>
          <w:rFonts w:ascii="Times New Roman" w:hAnsi="Times New Roman"/>
          <w:sz w:val="20"/>
        </w:rPr>
      </w:pPr>
      <w:r>
        <w:rPr>
          <w:rFonts w:ascii="Times New Roman" w:hAnsi="Times New Roman"/>
          <w:sz w:val="20"/>
        </w:rPr>
        <w:t xml:space="preserve">(j) any money judgment, writ or warrant of attachment or similar process involving an amount in excess of $10,000,000, to the extent not adequately covered by insurance as to which a solvent and unaffiliated insurance company has acknowledged coverage, shall be entered or filed against the Company, any Guarantor or any Significant Subsidiary or any of their respective assets and shall remain undischarged, unvacated, unbonded or unstayed for a period of 60 days; or </w:t>
      </w:r>
    </w:p>
    <w:p>
      <w:pPr>
        <w:pStyle w:val="TextBody"/>
        <w:bidi w:val="0"/>
        <w:spacing w:before="240" w:after="0"/>
        <w:jc w:val="left"/>
        <w:rPr>
          <w:rFonts w:ascii="Times New Roman" w:hAnsi="Times New Roman"/>
          <w:sz w:val="20"/>
        </w:rPr>
      </w:pPr>
      <w:r>
        <w:rPr>
          <w:rFonts w:ascii="Times New Roman" w:hAnsi="Times New Roman"/>
          <w:sz w:val="20"/>
        </w:rPr>
        <w:t xml:space="preserve">(k) any order, judgment or decree shall be entered against the Company, any Guarantor or any Significant Subsidiary decreeing the dissolution or split up of the Company, any Guarantor or Significant Subsidiary, and such order shall remain undischarged or unstayed for a period in excess of 30 days.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i/>
          <w:sz w:val="20"/>
        </w:rPr>
        <w:t>Acceleration; Rescission and Annulment</w:t>
      </w:r>
      <w:r>
        <w:rPr>
          <w:rFonts w:ascii="Times New Roman" w:hAnsi="Times New Roman"/>
          <w:sz w:val="20"/>
        </w:rPr>
        <w:t xml:space="preserve">. If one or more Events of Default shall have occurred and be continuing, then, and in each and every such case (other than an Event of Default specified in Section 6.01(h) or Section 6.01(i) with respect to the Company), unless the principal of, and accrued and unpaid interest on,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declare 100% of the principal of, and accrued and unpaid interest on, all the outstanding Notes to be due and payable immediately, and upon any such declaration the same shall become and shall automatically be immediately due and payable, anything contained in this Indenture or in the Notes to the contrary notwithstanding. For the avoidance of doubt, if such Event of Default is not continuing at the time such notice is provided (that is, such Event of Default has been cured or waived as of such time), then such notice will not be effective to cause such amounts to become due and payable immediately. If an Event of Default specified in Section 6.01(h) or Section 6.01(i) with respect to the Company occurs and is continuing, 100% of the principal of, and accrued and unpaid interest on, all Notes shall become and shall automatically be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and if (1) rescission would not conflict with any judgment or decree of a court of competent jurisdiction and (2) any and all existing Events of Default under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Indenture (including, for the avoidance of doubt, the failure to pay interest due and payable on any Defaulted Amounts), other than the nonpayment of the principal of and accrued and unpaid interest on Notes that shall have become due solely by such acceleration, shall have been cured or waived pursuant to Section 6.09, then and in every such case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and without limiting the manner in which any Default can be cured, (i) a Default consisting of a failure to send a notice in accordance with the terms of this Indenture will be cured upon the sending of such notice; (ii) a Default in making any payment on (or delivering any other consideration in respect of) any Note will be cured upon the delivery of such payment (or other consideration) together, if applicable, with any interest on any Defaulted Amounts payable as set forth in Section 2.03(c) due thereon; and (iii) a Default that is or, after notice, passage of time or both, would be a Reporting Event of Default will be cured upon the filing of the relevant report(s) giving rise, or that would have given rise, to such Reporting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In addition, for the avoidance of doubt, if a Default that is not an Event of Default is cured or waived before such Default would have constituted an Event of Default, then no Event of Default will result from such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i/>
          <w:sz w:val="20"/>
        </w:rPr>
        <w:t>Additional Interest</w:t>
      </w:r>
      <w:r>
        <w:rPr>
          <w:rFonts w:ascii="Times New Roman" w:hAnsi="Times New Roman"/>
          <w:sz w:val="20"/>
        </w:rPr>
        <w:t>. Notwithstanding anything in this Indenture or in the Notes to the contrary, to the extent the Company elects, the sole remedy for an Event of Default relating to the Company’s failure to comply with its obligations as set forth in Section 4.06(b) (such default, a “</w:t>
      </w:r>
      <w:r>
        <w:rPr>
          <w:rFonts w:ascii="Times New Roman" w:hAnsi="Times New Roman"/>
          <w:b/>
          <w:sz w:val="20"/>
        </w:rPr>
        <w:t>Reporting Event of Default</w:t>
      </w:r>
      <w:r>
        <w:rPr>
          <w:rFonts w:ascii="Times New Roman" w:hAnsi="Times New Roman"/>
          <w:sz w:val="20"/>
        </w:rPr>
        <w:t>”) shall, for the first 365 days after the occurrence of such an Event of Default, consist exclusively of the right to receive Additional Interest on the Notes at a rate equal to (x) 0.25% per annum of the principal amount of the Notes outstanding for each day that such Event of Default is continuing during the first 180 days after the occurrence of such Event of Default and (y) 0.50% per annum of the principal amount of the Notes outstanding from the 181st day to, and including, the 365th day following the occurrence of such Event of Default, as long as such Event of Default is continuing. Subject to the last paragraph of this Section 6.03, Additional Interest payable pursuant to this Section 6.03 shall be in addition to, not in lieu of, any Additional Interest payable pursuant to Section 4.06(d). If the Company so elects, such Additional Interest shall be payable in the same manner and on the same dates as the stated interest payable on the Notes. On the 366th day after such Event of Default (if the Event of Default relating to the Company’s failure to comply with its obligations as set forth in Section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4.06(b) is not cured or waived prior to such 366th day), the Notes shall be immediately subject to acceleration as provided in Section 6.02. The provisions of this paragraph will not affect the rights of Holders in the event of the occurrence of any Event of Default other than the Company’s failure to comply with its obligations as set forth in Section 4.06(b). In the event the Company does not elect to pay Additional Interest following an Event of Default in accordance with this Section 6.03 or the Company elected to pay Additional Interest following a Reporting Event of Default in accordance with this Section 6.03 but did not pay such Additional Interest when due, the Notes shall be immediately subject to acceleration as provided in Section 6.02 as a result of the Event of Default pursuant to Section 6.01(f) if such Event of Default is then continuing. </w:t>
      </w:r>
    </w:p>
    <w:p>
      <w:pPr>
        <w:pStyle w:val="TextBody"/>
        <w:bidi w:val="0"/>
        <w:spacing w:before="240" w:after="0"/>
        <w:jc w:val="left"/>
        <w:rPr>
          <w:rFonts w:ascii="Times New Roman" w:hAnsi="Times New Roman"/>
          <w:sz w:val="20"/>
        </w:rPr>
      </w:pPr>
      <w:r>
        <w:rPr>
          <w:rFonts w:ascii="Times New Roman" w:hAnsi="Times New Roman"/>
          <w:sz w:val="20"/>
        </w:rPr>
        <w:t xml:space="preserve">In order to elect to pay Additional Interest as the sole remedy during the first 365 days after the occurrence of any Event of Default relating to the Company’s failure to comply with its obligations as set forth in Section 4.06(b) in accordance with the immediately preceding paragraph, the Company must notify all Holders, the Trustee and the Paying Agent (if other than the Trustee) in writing of such election prior to the beginning of such 365-day period. Upon the failure to timely give such notice, the Notes shall be immediately subject to acceleration as provided in Section 6.02. </w:t>
      </w:r>
    </w:p>
    <w:p>
      <w:pPr>
        <w:pStyle w:val="TextBody"/>
        <w:bidi w:val="0"/>
        <w:spacing w:before="240" w:after="0"/>
        <w:jc w:val="left"/>
        <w:rPr>
          <w:rFonts w:ascii="Times New Roman" w:hAnsi="Times New Roman"/>
          <w:sz w:val="20"/>
        </w:rPr>
      </w:pPr>
      <w:r>
        <w:rPr>
          <w:rFonts w:ascii="Times New Roman" w:hAnsi="Times New Roman"/>
          <w:sz w:val="20"/>
        </w:rPr>
        <w:t xml:space="preserve">If Additional Interest is payable by the Company pursuant to this Section 6.03, the Company shall deliver to the Trustee an Officer’s Certificate to that effect stating (i) the amount of such Additional Interest that is payable and (ii) the date on which such Additional Interest is payable. For the avoidance of doubt, a failure to deliver the Officer’s Certificate referenced in the immediately prior sentence shall not relieve the Company from its obligation to pay Additional Interest. Unless and until a Responsible Officer of the Trustee receives at the Corporate Trust Office such a certificate, the Trustee may assume without inquiry that no such Additional Interest is payable or has been deferred and the Trustee shall not have any duty to verify the Company’s calculation of Additional Interest. If the Company has paid Additional Interest directly to the Persons entitled to it, the Company shall deliver to the Trustee an Officer’s Certificate setting forth the particulars of such payment.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Additional Interest payable at the Company’s election for failure to comply with its obligations as set forth in Section 4.06(b) as set forth in this Section 6.03, together with any Additional Interest that may accrue as a result of the Company’s failure to timely file any document or report that the Company is required to file with the Commission pursuant to Section 13 or 15(d) of the Exchange Act, as applicable (after giving effect to all applicable grace periods thereunder (including any grace period provided by Rule 12b-25 (or any successor rule, which grace period, for the avoidance of doubt, shall be deemed applicable whether or not the Company checks the box in the relevant Rule 12b-25 filing indicating the Company expects to file such report within the applicable Rule 12b-25 grace period)) and other than current reports on Form 8-K), pursuant to Section 4.06(d), accrue at a rate in excess of 0.50% per annum pursuant to this Indenture, regardless of the number of events or circumstances giving rise to the requirement to pay such Additional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6.04</w:t>
      </w:r>
      <w:r>
        <w:rPr>
          <w:rFonts w:ascii="Times New Roman" w:hAnsi="Times New Roman"/>
          <w:i/>
          <w:sz w:val="20"/>
        </w:rPr>
        <w:t>. Payments of Notes on Default; Suit Therefor</w:t>
      </w:r>
      <w:r>
        <w:rPr>
          <w:rFonts w:ascii="Times New Roman" w:hAnsi="Times New Roman"/>
          <w:sz w:val="20"/>
        </w:rPr>
        <w:t xml:space="preserve">. If an Event of Default described in clause (a) or (b) of Section 6.01 shall have occurred and be continuing, the Company shall, upon demand of the Trustee, pay to the Trustee, for the benefit of the Holders of the Notes, the whole amount then due and payable on the Notes for principal and interest, if any, with interest on any overdue principal and interest, if any, at the rate borne by the Notes at such time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expenses, and including any other amounts due to the Trustee under Section 7.06, incurred by it up to the date of such distribution. To the extent that such payment of compensation, reasonable expenses, advances and disbursements out of the estate in any such proceedings shall be denied for any reason, payment of the same shall be secured by a lien on, and shall be paid out of, any and all distributions, dividends, monies, securities and other property that the Holders may be entitled to receive in such proceedings, whether in liquidation or under any plan of reorganization or arrangement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In any proceedings brought by the Trustee (and in any proceedings involving the interpretation of any provision of this Indenture to which the Trustee shall be a party) the Trustee shall be held to represent all the Holders, and it shall not be necessary to make any Holders party to any such proceedings. </w:t>
      </w:r>
    </w:p>
    <w:p>
      <w:pPr>
        <w:pStyle w:val="TextBody"/>
        <w:bidi w:val="0"/>
        <w:spacing w:before="240" w:after="0"/>
        <w:jc w:val="left"/>
        <w:rPr>
          <w:rFonts w:ascii="Times New Roman" w:hAnsi="Times New Roman"/>
          <w:sz w:val="20"/>
        </w:rPr>
      </w:pPr>
      <w:r>
        <w:rPr>
          <w:rFonts w:ascii="Times New Roman" w:hAnsi="Times New Roman"/>
          <w:sz w:val="20"/>
        </w:rPr>
        <w:t xml:space="preserve">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Guarantors, the Holders and the Trustee shall, subject to any determination in such proceeding, be restored respectively to their several positions and rights hereunder, and all rights, remedies and powers of the Company, the Guarantors, the Holders and the Trustee shall continue as though no such proceeding had been instituted. </w:t>
      </w:r>
    </w:p>
    <w:p>
      <w:pPr>
        <w:pStyle w:val="TextBody"/>
        <w:bidi w:val="0"/>
        <w:spacing w:before="240" w:after="0"/>
        <w:jc w:val="left"/>
        <w:rPr>
          <w:rFonts w:ascii="Times New Roman" w:hAnsi="Times New Roman"/>
          <w:sz w:val="20"/>
        </w:rPr>
      </w:pPr>
      <w:r>
        <w:rPr>
          <w:rFonts w:ascii="Times New Roman" w:hAnsi="Times New Roman"/>
          <w:sz w:val="20"/>
        </w:rPr>
        <w:t>Section 6.05</w:t>
      </w:r>
      <w:r>
        <w:rPr>
          <w:rFonts w:ascii="Times New Roman" w:hAnsi="Times New Roman"/>
          <w:i/>
          <w:sz w:val="20"/>
        </w:rPr>
        <w:t>. Application of Monies Collected by Trustee.</w:t>
      </w:r>
      <w:r>
        <w:rPr>
          <w:rFonts w:ascii="Times New Roman" w:hAnsi="Times New Roman"/>
          <w:sz w:val="20"/>
        </w:rPr>
        <w:t xml:space="preserve"> Any monies or property collected by the Trustee pursuant to this Article 6 with respect to the Notes shall be applied in the following order, at the date or dates fixed by the Trustee for the distribution of such monies or property, upon presentation of the several Notes, and stamping thereon the payment, if only partially paid, and upon surrender thereof, if fully paid: </w:t>
      </w:r>
    </w:p>
    <w:p>
      <w:pPr>
        <w:pStyle w:val="TextBody"/>
        <w:bidi w:val="0"/>
        <w:spacing w:before="240" w:after="0"/>
        <w:jc w:val="left"/>
        <w:rPr>
          <w:rFonts w:ascii="Times New Roman" w:hAnsi="Times New Roman"/>
          <w:sz w:val="20"/>
        </w:rPr>
      </w:pPr>
      <w:r>
        <w:rPr>
          <w:rFonts w:ascii="Times New Roman" w:hAnsi="Times New Roman"/>
          <w:b/>
          <w:sz w:val="20"/>
        </w:rPr>
        <w:t>First</w:t>
      </w:r>
      <w:r>
        <w:rPr>
          <w:rFonts w:ascii="Times New Roman" w:hAnsi="Times New Roman"/>
          <w:sz w:val="20"/>
        </w:rPr>
        <w:t xml:space="preserve">, to the payment of all amounts due the Trustee in all of its capacities under this Indenture; </w:t>
      </w:r>
    </w:p>
    <w:p>
      <w:pPr>
        <w:pStyle w:val="TextBody"/>
        <w:bidi w:val="0"/>
        <w:spacing w:before="240" w:after="0"/>
        <w:jc w:val="left"/>
        <w:rPr>
          <w:rFonts w:ascii="Times New Roman" w:hAnsi="Times New Roman"/>
          <w:sz w:val="20"/>
        </w:rPr>
      </w:pPr>
      <w:r>
        <w:rPr>
          <w:rFonts w:ascii="Times New Roman" w:hAnsi="Times New Roman"/>
          <w:b/>
          <w:sz w:val="20"/>
        </w:rPr>
        <w:t>Second</w:t>
      </w:r>
      <w:r>
        <w:rPr>
          <w:rFonts w:ascii="Times New Roman" w:hAnsi="Times New Roman"/>
          <w:sz w:val="20"/>
        </w:rPr>
        <w:t xml:space="preserve">, in case the principal of the outstanding Notes shall not have become due and be unpaid, to the payment of interest on, and any cash due upon conversion of, the Notes in default in the order of the date due of the payments of such interest and cash due upon conversion, as the case may be, with interest (to the extent that such interest is payable on such Notes and has been collected by the Trustee) upon such overdue payments at the rate of interest then payable on such Notes such payments to be made ratably to the Persons entitled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in case the principal of the outstanding Notes shall have become due, by declaration or otherwise, and be unpaid, to the payment of the whole amount (including, if applicable, the payment of the Redemption Price, the Fundamental Change Repurchase Price and any cash due upon conversion) then owing and unpaid upon the Notes for principal and interest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Redemption Price, the Fundamental Change Repurchase Price and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the Fundamental Change Repurchase Price and any cash due upon conversion) and any accrued and unpaid interest; and </w:t>
      </w:r>
    </w:p>
    <w:p>
      <w:pPr>
        <w:pStyle w:val="TextBody"/>
        <w:bidi w:val="0"/>
        <w:spacing w:before="240" w:after="0"/>
        <w:jc w:val="left"/>
        <w:rPr>
          <w:rFonts w:ascii="Times New Roman" w:hAnsi="Times New Roman"/>
          <w:sz w:val="20"/>
        </w:rPr>
      </w:pPr>
      <w:r>
        <w:rPr>
          <w:rFonts w:ascii="Times New Roman" w:hAnsi="Times New Roman"/>
          <w:b/>
          <w:sz w:val="20"/>
        </w:rPr>
        <w:t>Fourth</w:t>
      </w:r>
      <w:r>
        <w:rPr>
          <w:rFonts w:ascii="Times New Roman" w:hAnsi="Times New Roman"/>
          <w:sz w:val="20"/>
        </w:rPr>
        <w:t xml:space="preserve">, to the payment of the remainder to the Company. </w:t>
      </w:r>
    </w:p>
    <w:p>
      <w:pPr>
        <w:pStyle w:val="TextBody"/>
        <w:bidi w:val="0"/>
        <w:spacing w:before="240" w:after="0"/>
        <w:jc w:val="left"/>
        <w:rPr>
          <w:rFonts w:ascii="Times New Roman" w:hAnsi="Times New Roman"/>
          <w:sz w:val="20"/>
        </w:rPr>
      </w:pPr>
      <w:r>
        <w:rPr>
          <w:rFonts w:ascii="Times New Roman" w:hAnsi="Times New Roman"/>
          <w:sz w:val="20"/>
        </w:rPr>
        <w:t>Section 6.06</w:t>
      </w:r>
      <w:r>
        <w:rPr>
          <w:rFonts w:ascii="Times New Roman" w:hAnsi="Times New Roman"/>
          <w:i/>
          <w:sz w:val="20"/>
        </w:rPr>
        <w:t>. Proceedings by Holders</w:t>
      </w:r>
      <w:r>
        <w:rPr>
          <w:rFonts w:ascii="Times New Roman" w:hAnsi="Times New Roman"/>
          <w:sz w:val="20"/>
        </w:rPr>
        <w:t xml:space="preserve">. Except to enforce the right to receive payment of principal (including, if applicable, the Redemption Price, the Fundamental Change Repurchase Price) or interest when due, or the right to receive payment or delivery of the consideration due upon conversion, no Holder of any Note shall have any right by virtue of or by availing of any provision of this Indenture or the Notes to institute any suit, action or proceeding in equity or at law upon or under or with respect to this Indenture, or for the appointment of a receiver, trustee, liquidator, custodian or other similar official, or for any other remedy hereunder, unless: </w:t>
      </w:r>
    </w:p>
    <w:p>
      <w:pPr>
        <w:pStyle w:val="TextBody"/>
        <w:bidi w:val="0"/>
        <w:spacing w:before="240" w:after="0"/>
        <w:jc w:val="left"/>
        <w:rPr>
          <w:rFonts w:ascii="Times New Roman" w:hAnsi="Times New Roman"/>
          <w:sz w:val="20"/>
        </w:rPr>
      </w:pPr>
      <w:r>
        <w:rPr>
          <w:rFonts w:ascii="Times New Roman" w:hAnsi="Times New Roman"/>
          <w:sz w:val="20"/>
        </w:rPr>
        <w:t xml:space="preserve">(a) such Holder previously shall have given to the Trustee written notice of an Event of Default and of the continuance thereof, as herein provided; </w:t>
      </w:r>
    </w:p>
    <w:p>
      <w:pPr>
        <w:pStyle w:val="TextBody"/>
        <w:bidi w:val="0"/>
        <w:spacing w:before="240" w:after="0"/>
        <w:jc w:val="left"/>
        <w:rPr>
          <w:rFonts w:ascii="Times New Roman" w:hAnsi="Times New Roman"/>
          <w:sz w:val="20"/>
        </w:rPr>
      </w:pPr>
      <w:r>
        <w:rPr>
          <w:rFonts w:ascii="Times New Roman" w:hAnsi="Times New Roman"/>
          <w:sz w:val="20"/>
        </w:rPr>
        <w:t xml:space="preserve">(b) Holders of at least 25% in aggregate principal amount of the Notes then outstanding shall have made written request upon the Trustee to institute such action, suit or proceeding in its own name as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(c) such Holders shall have offered to the Trustee such security or indemnity satisfactory to it against any loss, claim, liability or expense to be incurred therein or thereby; </w:t>
      </w:r>
    </w:p>
    <w:p>
      <w:pPr>
        <w:pStyle w:val="TextBody"/>
        <w:bidi w:val="0"/>
        <w:spacing w:before="240" w:after="0"/>
        <w:jc w:val="left"/>
        <w:rPr>
          <w:rFonts w:ascii="Times New Roman" w:hAnsi="Times New Roman"/>
          <w:sz w:val="20"/>
        </w:rPr>
      </w:pPr>
      <w:r>
        <w:rPr>
          <w:rFonts w:ascii="Times New Roman" w:hAnsi="Times New Roman"/>
          <w:sz w:val="20"/>
        </w:rPr>
        <w:t xml:space="preserve">(d) the Trustee for 60 days after its receipt of such notice, such request and the offer of such security or indemnity, shall have neglected or refused to institute any such action, suit or proceeding; and </w:t>
      </w:r>
    </w:p>
    <w:p>
      <w:pPr>
        <w:pStyle w:val="TextBody"/>
        <w:bidi w:val="0"/>
        <w:spacing w:before="240" w:after="0"/>
        <w:jc w:val="left"/>
        <w:rPr>
          <w:rFonts w:ascii="Times New Roman" w:hAnsi="Times New Roman"/>
          <w:sz w:val="20"/>
        </w:rPr>
      </w:pPr>
      <w:r>
        <w:rPr>
          <w:rFonts w:ascii="Times New Roman" w:hAnsi="Times New Roman"/>
          <w:sz w:val="20"/>
        </w:rPr>
        <w:t xml:space="preserve">(e) no direction that, in the opinion of the Trustee, is inconsistent with such written request shall have been given to the Trustee by the Holders of a majority of the aggregate principal amount of the Notes then outstanding within such 60-day period pursuant to Section 6.09,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(it being understood that the Trustee does not have an affirmative duty to ascertain whether or not such actions or forbearances are unduly prejudicial to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Indenture and any provision of any Note, each Holder shall have the right to receive payment or delivery, as the case may be, of (x) the principal (including the Redemption Price, the Fundamental Change Repurchase Price, if applicable) of, (y) accrued and unpaid interest on, and (z) the consideration due upon conversion of, such Note, on or after the respective due dates expressed or provided for in such Note or in this Indenture, or to institute suit for the enforcement of any such payment or delivery, as the case may be. </w:t>
      </w:r>
    </w:p>
    <w:p>
      <w:pPr>
        <w:pStyle w:val="TextBody"/>
        <w:bidi w:val="0"/>
        <w:spacing w:before="240" w:after="0"/>
        <w:jc w:val="left"/>
        <w:rPr>
          <w:rFonts w:ascii="Times New Roman" w:hAnsi="Times New Roman"/>
          <w:sz w:val="20"/>
        </w:rPr>
      </w:pPr>
      <w:r>
        <w:rPr>
          <w:rFonts w:ascii="Times New Roman" w:hAnsi="Times New Roman"/>
          <w:sz w:val="20"/>
        </w:rPr>
        <w:t>Section 6.07</w:t>
      </w:r>
      <w:r>
        <w:rPr>
          <w:rFonts w:ascii="Times New Roman" w:hAnsi="Times New Roman"/>
          <w:i/>
          <w:sz w:val="20"/>
        </w:rPr>
        <w:t>. Proceedings by Trustee</w:t>
      </w:r>
      <w:r>
        <w:rPr>
          <w:rFonts w:ascii="Times New Roman" w:hAnsi="Times New Roman"/>
          <w:sz w:val="20"/>
        </w:rPr>
        <w:t xml:space="preserv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 </w:t>
      </w:r>
    </w:p>
    <w:p>
      <w:pPr>
        <w:pStyle w:val="TextBody"/>
        <w:bidi w:val="0"/>
        <w:spacing w:before="240" w:after="0"/>
        <w:jc w:val="left"/>
        <w:rPr>
          <w:rFonts w:ascii="Times New Roman" w:hAnsi="Times New Roman"/>
          <w:sz w:val="20"/>
        </w:rPr>
      </w:pPr>
      <w:r>
        <w:rPr>
          <w:rFonts w:ascii="Times New Roman" w:hAnsi="Times New Roman"/>
          <w:sz w:val="20"/>
        </w:rPr>
        <w:t>Section 6.08</w:t>
      </w:r>
      <w:r>
        <w:rPr>
          <w:rFonts w:ascii="Times New Roman" w:hAnsi="Times New Roman"/>
          <w:i/>
          <w:sz w:val="20"/>
        </w:rPr>
        <w:t>. Remedies Cumulative and Continuing</w:t>
      </w:r>
      <w:r>
        <w:rPr>
          <w:rFonts w:ascii="Times New Roman" w:hAnsi="Times New Roman"/>
          <w:sz w:val="20"/>
        </w:rPr>
        <w:t xml:space="preserve">.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6.09</w:t>
      </w:r>
      <w:r>
        <w:rPr>
          <w:rFonts w:ascii="Times New Roman" w:hAnsi="Times New Roman"/>
          <w:i/>
          <w:sz w:val="20"/>
        </w:rPr>
        <w:t>. Direction of Proceedings and Waiver of Defaults by Majority of Holders</w:t>
      </w:r>
      <w:r>
        <w:rPr>
          <w:rFonts w:ascii="Times New Roman" w:hAnsi="Times New Roman"/>
          <w:sz w:val="20"/>
        </w:rPr>
        <w:t xml:space="preserve">. Subject to the Trustee’s right to receive security or indemnity from the relevant Holders as described herein,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or the Note Guarantees;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such direction shall not be in conflict with any rule of law or with this Indenture, and (b) the Trustee may take any other action deemed proper by the Trustee and that is not inconsistent with such direction. The Trustee may refuse to follow any direction that it determines is in conflict with any rule of law or with this Indenture or unduly prejudicial to the rights of any other Holder or that would involve the Trustee in personal liability (it being understood that the Trustee does not have an affirmative duty to ascertain whether or not any such directions are unduly prejudicial to such Holder) or for which it has not received indemnity or security satisfactory to the Trustee against any loss, liability or expense. The Holders of a majority in aggregate principal amount of the Notes at the time outstanding determined in accordance with Section 8.04 may on behalf of the Holders of all of the Notes waive any past Default or Event of Default hereunder and its consequences (including, for the avoidance of doubt, any acceleration as a result of such Default or Event of Default) except any continuing defaults relating to (i) a default in the payment of accrued and unpaid interest on, or the principal (including any Redemption Price, any Fundamental Change Repurchase Price) of, the Notes when due that has not been cured pursuant to the provisions of Section 6.01, (ii) a failure by the Company or any Guarantor to pay or deliver, as the case may be, the consideration due upon conversion of the Notes or (iii) a default in respect of a covenant or provision hereof which under Article 10 cannot be modified or amended without the consent of each Holder of an outstanding Note affected. Upon any such waiver the Company, the Guarantors, the Trustee and the Holders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Section 6.10</w:t>
      </w:r>
      <w:r>
        <w:rPr>
          <w:rFonts w:ascii="Times New Roman" w:hAnsi="Times New Roman"/>
          <w:i/>
          <w:sz w:val="20"/>
        </w:rPr>
        <w:t>. Notice of Defaults.</w:t>
      </w:r>
      <w:r>
        <w:rPr>
          <w:rFonts w:ascii="Times New Roman" w:hAnsi="Times New Roman"/>
          <w:sz w:val="20"/>
        </w:rPr>
        <w:t xml:space="preserve"> The Trustee shall, within 90 days after a Responsible Officer obtains actual knowledge of the occurrence and continuance of a Default, deliver to all Holders notice of all Defaults actually known to a Responsible Officer, unless such Defaults shall have been cured or waived before the giving of such notice; </w:t>
      </w:r>
      <w:r>
        <w:rPr>
          <w:rFonts w:ascii="Times New Roman" w:hAnsi="Times New Roman"/>
          <w:i/>
          <w:sz w:val="20"/>
        </w:rPr>
        <w:t>provided</w:t>
      </w:r>
      <w:r>
        <w:rPr>
          <w:rFonts w:ascii="Times New Roman" w:hAnsi="Times New Roman"/>
          <w:sz w:val="20"/>
        </w:rPr>
        <w:t xml:space="preserve"> that, except in the case of a Default in the payment of the principal of (including the Redemption Price, the Fundamental Change Repurchase Price, if applicable), or accrued and unpaid interest on, any of the Notes or a Default in the payment or delivery of the consideration due upon conversion, the Trustee shall be protected in withholding such notice if and so long as a Responsible Officer of the Trustee determines that the withholding of such notice is in the interests of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6.11</w:t>
      </w:r>
      <w:r>
        <w:rPr>
          <w:rFonts w:ascii="Times New Roman" w:hAnsi="Times New Roman"/>
          <w:i/>
          <w:sz w:val="20"/>
        </w:rPr>
        <w:t>. Undertaking to Pay Costs</w:t>
      </w:r>
      <w:r>
        <w:rPr>
          <w:rFonts w:ascii="Times New Roman" w:hAnsi="Times New Roman"/>
          <w:sz w:val="20"/>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 w:hAnsi="Times New Roman"/>
          <w:i/>
          <w:sz w:val="20"/>
        </w:rPr>
        <w:t>provided</w:t>
      </w:r>
      <w:r>
        <w:rPr>
          <w:rFonts w:ascii="Times New Roman" w:hAnsi="Times New Roman"/>
          <w:sz w:val="20"/>
        </w:rPr>
        <w:t xml:space="preserve"> that the provisions of this 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(including, but not limited to, the Redemption Price, the Fundamental Change Repurchase Price, if applicable) of or any accrued and unpaid interest on any Note on or after the due date expressed or provided for in such Note or to any suit for the enforcement of the right to convert any Note, or receive the consideration due upon conversion, in accordance with the provisions of Article 14. </w:t>
      </w:r>
    </w:p>
    <w:p>
      <w:pPr>
        <w:pStyle w:val="TextBody"/>
        <w:bidi w:val="0"/>
        <w:spacing w:before="240" w:after="0"/>
        <w:jc w:val="center"/>
        <w:rPr>
          <w:rFonts w:ascii="Times New Roman" w:hAnsi="Times New Roman"/>
          <w:sz w:val="20"/>
        </w:rPr>
      </w:pPr>
      <w:r>
        <w:rPr>
          <w:rFonts w:ascii="Times New Roman" w:hAnsi="Times New Roman"/>
          <w:sz w:val="20"/>
        </w:rPr>
        <w:t xml:space="preserve">ARTICLE 7 </w:t>
      </w:r>
    </w:p>
    <w:p>
      <w:pPr>
        <w:pStyle w:val="TextBody"/>
        <w:bidi w:val="0"/>
        <w:spacing w:before="0" w:after="0"/>
        <w:jc w:val="center"/>
        <w:rPr>
          <w:rFonts w:ascii="Times New Roman" w:hAnsi="Times New Roman"/>
          <w:sz w:val="20"/>
        </w:rPr>
      </w:pPr>
      <w:r>
        <w:rPr>
          <w:rFonts w:ascii="Times New Roman" w:hAnsi="Times New Roman"/>
          <w:sz w:val="20"/>
        </w:rPr>
        <w:t xml:space="preserve">CONCERNING THE TRUSTEE </w:t>
      </w:r>
    </w:p>
    <w:p>
      <w:pPr>
        <w:pStyle w:val="TextBody"/>
        <w:bidi w:val="0"/>
        <w:spacing w:before="240" w:after="0"/>
        <w:jc w:val="left"/>
        <w:rPr>
          <w:rFonts w:ascii="Times New Roman" w:hAnsi="Times New Roman"/>
          <w:sz w:val="20"/>
        </w:rPr>
      </w:pPr>
      <w:r>
        <w:rPr>
          <w:rFonts w:ascii="Times New Roman" w:hAnsi="Times New Roman"/>
          <w:sz w:val="20"/>
        </w:rPr>
        <w:t>Section 7.01</w:t>
      </w:r>
      <w:r>
        <w:rPr>
          <w:rFonts w:ascii="Times New Roman" w:hAnsi="Times New Roman"/>
          <w:i/>
          <w:sz w:val="20"/>
        </w:rPr>
        <w:t>. Duties and Responsibilities of Trustee</w:t>
      </w:r>
      <w:r>
        <w:rPr>
          <w:rFonts w:ascii="Times New Roman" w:hAnsi="Times New Roman"/>
          <w:sz w:val="20"/>
        </w:rPr>
        <w:t xml:space="preserv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 w:hAnsi="Times New Roman"/>
          <w:i/>
          <w:sz w:val="20"/>
        </w:rPr>
        <w:t>provided</w:t>
      </w:r>
      <w:r>
        <w:rPr>
          <w:rFonts w:ascii="Times New Roman" w:hAnsi="Times New Roman"/>
          <w:sz w:val="20"/>
        </w:rPr>
        <w:t xml:space="preserve">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it against any loss, claim, liability or expense that might be incurred by it in compliance with such request or direction. </w:t>
      </w:r>
    </w:p>
    <w:p>
      <w:pPr>
        <w:pStyle w:val="TextBody"/>
        <w:bidi w:val="0"/>
        <w:spacing w:before="240" w:after="0"/>
        <w:jc w:val="left"/>
        <w:rPr>
          <w:rFonts w:ascii="Times New Roman" w:hAnsi="Times New Roman"/>
          <w:sz w:val="20"/>
        </w:rPr>
      </w:pPr>
      <w:r>
        <w:rPr>
          <w:rFonts w:ascii="Times New Roman" w:hAnsi="Times New Roman"/>
          <w:sz w:val="20"/>
        </w:rPr>
        <w:t xml:space="preserve">No provision of this Indenture shall be construed to relieve the Trustee from liability for its own grossly negligent action, its own grossly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(a) prior to the occurrence of an Event of Default and after the curing or waiving of all Events of Default that may have occurred: </w:t>
      </w:r>
    </w:p>
    <w:p>
      <w:pPr>
        <w:pStyle w:val="TextBody"/>
        <w:bidi w:val="0"/>
        <w:spacing w:before="120" w:after="0"/>
        <w:jc w:val="left"/>
        <w:rPr>
          <w:rFonts w:ascii="Times New Roman" w:hAnsi="Times New Roman"/>
          <w:sz w:val="20"/>
        </w:rPr>
      </w:pPr>
      <w:r>
        <w:rPr>
          <w:rFonts w:ascii="Times New Roman" w:hAnsi="Times New Roman"/>
          <w:sz w:val="20"/>
        </w:rPr>
        <w:t xml:space="preserve">(i) 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in the absence of gross negligence and willful misconduct on the part of the Trustee, the Trustee may, as to the truth of the statements and the correctness of the opinions expressed therein, conclusively rely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 </w:t>
      </w:r>
    </w:p>
    <w:p>
      <w:pPr>
        <w:pStyle w:val="TextBody"/>
        <w:bidi w:val="0"/>
        <w:spacing w:before="240" w:after="0"/>
        <w:jc w:val="left"/>
        <w:rPr>
          <w:rFonts w:ascii="Times New Roman" w:hAnsi="Times New Roman"/>
          <w:sz w:val="20"/>
        </w:rPr>
      </w:pPr>
      <w:r>
        <w:rPr>
          <w:rFonts w:ascii="Times New Roman" w:hAnsi="Times New Roman"/>
          <w:sz w:val="20"/>
        </w:rPr>
        <w:t xml:space="preserve">(b) the Trustee shall not be liable for any action taken or error of judgment made in good faith by a Responsible Officer or Officers of the Trustee, unless it shall be proved that the Trustee was grossly negligent in ascertaining the pertinent facts; </w:t>
      </w:r>
    </w:p>
    <w:p>
      <w:pPr>
        <w:pStyle w:val="TextBody"/>
        <w:bidi w:val="0"/>
        <w:spacing w:before="240" w:after="0"/>
        <w:jc w:val="left"/>
        <w:rPr>
          <w:rFonts w:ascii="Times New Roman" w:hAnsi="Times New Roman"/>
          <w:sz w:val="20"/>
        </w:rPr>
      </w:pPr>
      <w:r>
        <w:rPr>
          <w:rFonts w:ascii="Times New Roman" w:hAnsi="Times New Roman"/>
          <w:sz w:val="20"/>
        </w:rPr>
        <w:t xml:space="preserve">(c) 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(d) whether or not therein provided, every provision of this Indenture relating to the conduct or affecting the liability of, or affording protection to, the Trustee shall be subject to the provisions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(e) 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(f) 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 </w:t>
      </w:r>
    </w:p>
    <w:p>
      <w:pPr>
        <w:pStyle w:val="TextBody"/>
        <w:bidi w:val="0"/>
        <w:spacing w:before="240" w:after="0"/>
        <w:jc w:val="left"/>
        <w:rPr>
          <w:rFonts w:ascii="Times New Roman" w:hAnsi="Times New Roman"/>
          <w:sz w:val="20"/>
        </w:rPr>
      </w:pPr>
      <w:r>
        <w:rPr>
          <w:rFonts w:ascii="Times New Roman" w:hAnsi="Times New Roman"/>
          <w:sz w:val="20"/>
        </w:rPr>
        <w:t xml:space="preserve">(g) the Trustee shall not be required to give any bond or surety in respect of the execution of the trusts and powers under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fees, taxes or other charges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(i) in the event that the Trustee is also acting as Custodian, Note Registrar, Paying Agent, Conversion Agent, Bid Solicitation Agent or transfer agent hereunder, the rights and protections afforded to the Trustee pursuant to this Article 7 shall also be afforded to such Custodian, Note Registrar, Paying Agent, Conversion Agent, Bid Solicitation Agent or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None of the provisions contained in this Indenture shall require the Trustee to expend or risk its own funds or otherwise incur personal financial liability in the performance of any of its duties or in the exercise of any of its rights or powers. Prior to taking any actions under this Indenture, the Trustee shall be entitled to indemnification or security against any loss, liability or expense caused by taking or not taking such action. </w:t>
      </w:r>
    </w:p>
    <w:p>
      <w:pPr>
        <w:pStyle w:val="TextBody"/>
        <w:bidi w:val="0"/>
        <w:spacing w:before="240" w:after="0"/>
        <w:jc w:val="left"/>
        <w:rPr>
          <w:rFonts w:ascii="Times New Roman" w:hAnsi="Times New Roman"/>
          <w:sz w:val="20"/>
        </w:rPr>
      </w:pPr>
      <w:r>
        <w:rPr>
          <w:rFonts w:ascii="Times New Roman" w:hAnsi="Times New Roman"/>
          <w:sz w:val="20"/>
        </w:rPr>
        <w:t>Section 7.02</w:t>
      </w:r>
      <w:r>
        <w:rPr>
          <w:rFonts w:ascii="Times New Roman" w:hAnsi="Times New Roman"/>
          <w:i/>
          <w:sz w:val="20"/>
        </w:rPr>
        <w:t>. Reliance on Documents, Opinions, Etc.</w:t>
      </w:r>
      <w:r>
        <w:rPr>
          <w:rFonts w:ascii="Times New Roman" w:hAnsi="Times New Roman"/>
          <w:sz w:val="20"/>
        </w:rPr>
        <w:t xml:space="preserve">. Except as otherwise provided in Section 7.01: </w:t>
      </w:r>
    </w:p>
    <w:p>
      <w:pPr>
        <w:pStyle w:val="TextBody"/>
        <w:bidi w:val="0"/>
        <w:spacing w:before="240" w:after="0"/>
        <w:jc w:val="left"/>
        <w:rPr>
          <w:rFonts w:ascii="Times New Roman" w:hAnsi="Times New Roman"/>
          <w:sz w:val="20"/>
        </w:rPr>
      </w:pPr>
      <w:r>
        <w:rPr>
          <w:rFonts w:ascii="Times New Roman" w:hAnsi="Times New Roman"/>
          <w:sz w:val="20"/>
        </w:rPr>
        <w:t xml:space="preserve">(a) the Trustee may conclusively rely and shall be fully protected in acting or refraining from acting upon any resolution, certificate, statement, instrument, opinion, report, notice, request, consent, order, bond, note, coupon or other paper or document believed by it in good faith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(b) 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whenever in the administration of this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conclusively rely upon an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(d) 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Trustee shall not be bound to make any investigation into the facts or matters stated in any resolution, certificate, statement, instrument, opinion, report, notice, request, direction, consent, order, bond, debenture or other paper or document, but the Trustee ,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 </w:t>
      </w:r>
    </w:p>
    <w:p>
      <w:pPr>
        <w:pStyle w:val="TextBody"/>
        <w:bidi w:val="0"/>
        <w:spacing w:before="240" w:after="0"/>
        <w:jc w:val="left"/>
        <w:rPr>
          <w:rFonts w:ascii="Times New Roman" w:hAnsi="Times New Roman"/>
          <w:sz w:val="20"/>
        </w:rPr>
      </w:pPr>
      <w:r>
        <w:rPr>
          <w:rFonts w:ascii="Times New Roman" w:hAnsi="Times New Roman"/>
          <w:sz w:val="20"/>
        </w:rPr>
        <w:t xml:space="preserve">(f) 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 </w:t>
      </w:r>
    </w:p>
    <w:p>
      <w:pPr>
        <w:pStyle w:val="TextBody"/>
        <w:bidi w:val="0"/>
        <w:spacing w:before="240" w:after="0"/>
        <w:jc w:val="left"/>
        <w:rPr>
          <w:rFonts w:ascii="Times New Roman" w:hAnsi="Times New Roman"/>
          <w:sz w:val="20"/>
        </w:rPr>
      </w:pPr>
      <w:r>
        <w:rPr>
          <w:rFonts w:ascii="Times New Roman" w:hAnsi="Times New Roman"/>
          <w:sz w:val="20"/>
        </w:rPr>
        <w:t xml:space="preserve">(g) the permissive rights of the Trustee enumerated herein shall not be construed as duties; </w:t>
      </w:r>
    </w:p>
    <w:p>
      <w:pPr>
        <w:pStyle w:val="TextBody"/>
        <w:bidi w:val="0"/>
        <w:spacing w:before="240" w:after="0"/>
        <w:jc w:val="left"/>
        <w:rPr>
          <w:rFonts w:ascii="Times New Roman" w:hAnsi="Times New Roman"/>
          <w:sz w:val="20"/>
        </w:rPr>
      </w:pPr>
      <w:r>
        <w:rPr>
          <w:rFonts w:ascii="Times New Roman" w:hAnsi="Times New Roman"/>
          <w:sz w:val="20"/>
        </w:rPr>
        <w:t xml:space="preserve">(h) the Trustee may request that the Company deliver an Officer’s Certificate setting forth the names of the individuals and/or titles of officers authorized at such times to take specified actions pursuant to this Indenture, which Officer’s Certificate may be signed by any Person authorized to sign an Officer’s Certificate, including any Person specified as so authorized in any such certificate previously delivered and not superseded; </w:t>
      </w:r>
    </w:p>
    <w:p>
      <w:pPr>
        <w:pStyle w:val="TextBody"/>
        <w:bidi w:val="0"/>
        <w:spacing w:before="240" w:after="0"/>
        <w:jc w:val="left"/>
        <w:rPr>
          <w:rFonts w:ascii="Times New Roman" w:hAnsi="Times New Roman"/>
          <w:sz w:val="20"/>
        </w:rPr>
      </w:pPr>
      <w:r>
        <w:rPr>
          <w:rFonts w:ascii="Times New Roman" w:hAnsi="Times New Roman"/>
          <w:sz w:val="20"/>
        </w:rPr>
        <w:t xml:space="preserve">(i) neither the Trustee nor any of its directors, officers, employees, agents, or affiliates shall be responsible for nor have any duty to monitor the performance or any action of the Company, or any of their respective directors, members, officers, agents, affiliates, or employees, nor shall it have any liability in connection with the malfeasance or nonfeasance by such party. The Trustee shall not be responsible for any inaccuracy in the information obtained from the Company or for any inaccuracy or omission in the records which may result from such information or any failure by the Trustee to perform its duties or set forth herein as a result of any inaccuracy or incompleteness. </w:t>
      </w:r>
    </w:p>
    <w:p>
      <w:pPr>
        <w:pStyle w:val="TextBody"/>
        <w:bidi w:val="0"/>
        <w:spacing w:before="240" w:after="0"/>
        <w:jc w:val="left"/>
        <w:rPr>
          <w:rFonts w:ascii="Times New Roman" w:hAnsi="Times New Roman"/>
          <w:sz w:val="20"/>
        </w:rPr>
      </w:pPr>
      <w:r>
        <w:rPr>
          <w:rFonts w:ascii="Times New Roman" w:hAnsi="Times New Roman"/>
          <w:sz w:val="20"/>
        </w:rPr>
        <w:t xml:space="preserve">(j) the Trustee shall not be liable for any action taken, suffered, or omitted to be taken by it in good faith and reasonably believed by it to be authorized or within the discretion or rights or powers conferred upon it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(k) the Trustee shall not be obligated to take possession of any Common Stock, whether upon payment of Share Interest, conversion or in connection with any discharge of this Indenture pursuant to Article 3 hereof, but shall satisfy its obligation as Conversion Agent by working through the stock transfer agent of the Company from time to time as directed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(l) the Trustee may assume that any payment of Share Interest has been made absent written notice from the Company or the Holder to the contrary;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the Trustee shall have no obligation to monitor or enforce any documents other than this Indenture and the Notes, including without limitation that certain registrations rights agreement or the securities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the Trustee be responsible or liable for any special, indirect, punitive, or consequential loss or damage of any kind whatsoever (including but not limited to lost profits), even if the Trustee has been advised of the likelihood of such loss or damage and regardless of the form of action. The Trustee shall not be charged with knowledge of (or be required to act including the sending of any notices with respect to) any Default or Event of Default with respect to the Notes, unless either (1) a Responsible Officer shall have actual knowledge of such Default or Event of Default or (2) written notice of such Default or Event of Default shall have been actually received by a Responsible Officer of the Trustee from the Company or any Holder. </w:t>
      </w:r>
    </w:p>
    <w:p>
      <w:pPr>
        <w:pStyle w:val="TextBody"/>
        <w:bidi w:val="0"/>
        <w:spacing w:before="240" w:after="0"/>
        <w:jc w:val="left"/>
        <w:rPr>
          <w:rFonts w:ascii="Times New Roman" w:hAnsi="Times New Roman"/>
          <w:sz w:val="20"/>
        </w:rPr>
      </w:pPr>
      <w:r>
        <w:rPr>
          <w:rFonts w:ascii="Times New Roman" w:hAnsi="Times New Roman"/>
          <w:sz w:val="20"/>
        </w:rPr>
        <w:t>Section 7.03</w:t>
      </w:r>
      <w:r>
        <w:rPr>
          <w:rFonts w:ascii="Times New Roman" w:hAnsi="Times New Roman"/>
          <w:i/>
          <w:sz w:val="20"/>
        </w:rPr>
        <w:t>. No Responsibility for Recitals, Etc</w:t>
      </w:r>
      <w:r>
        <w:rPr>
          <w:rFonts w:ascii="Times New Roman" w:hAnsi="Times New Roman"/>
          <w:sz w:val="20"/>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 proceeds of any Notes authenticated and delivered by the Trustee in conformity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Section 7.04</w:t>
      </w:r>
      <w:r>
        <w:rPr>
          <w:rFonts w:ascii="Times New Roman" w:hAnsi="Times New Roman"/>
          <w:i/>
          <w:sz w:val="20"/>
        </w:rPr>
        <w:t>. Trustee, Paying Agents, Conversion Agents, Bid Solicitation Agent or Note Registrar May Own Notes</w:t>
      </w:r>
      <w:r>
        <w:rPr>
          <w:rFonts w:ascii="Times New Roman" w:hAnsi="Times New Roman"/>
          <w:sz w:val="20"/>
        </w:rPr>
        <w:t xml:space="preserve">. The Trustee, any Paying Agent, any Conversion Agent, Bid Solicitation Agent (if other than the Company or any Affiliate thereof) or Note Registrar, in its individual or any other capacity, may become the owner or pledgee of Notes with the same rights it would have if it were not the Trustee, Paying Agent, Conversion Agent, Bid Solicitation Agent or Note Registrar. </w:t>
      </w:r>
    </w:p>
    <w:p>
      <w:pPr>
        <w:pStyle w:val="TextBody"/>
        <w:bidi w:val="0"/>
        <w:spacing w:before="240" w:after="0"/>
        <w:jc w:val="left"/>
        <w:rPr>
          <w:rFonts w:ascii="Times New Roman" w:hAnsi="Times New Roman"/>
          <w:sz w:val="20"/>
        </w:rPr>
      </w:pPr>
      <w:r>
        <w:rPr>
          <w:rFonts w:ascii="Times New Roman" w:hAnsi="Times New Roman"/>
          <w:sz w:val="20"/>
        </w:rPr>
        <w:t>Section 7.05</w:t>
      </w:r>
      <w:r>
        <w:rPr>
          <w:rFonts w:ascii="Times New Roman" w:hAnsi="Times New Roman"/>
          <w:i/>
          <w:sz w:val="20"/>
        </w:rPr>
        <w:t>. Monies and Shares of Common Stock to Be Held in Trust</w:t>
      </w:r>
      <w:r>
        <w:rPr>
          <w:rFonts w:ascii="Times New Roman" w:hAnsi="Times New Roman"/>
          <w:sz w:val="20"/>
        </w:rPr>
        <w:t xml:space="preserve">. All monies and shares of Common Stock received by the Trustee shall, until used or applied as herein provided, be held in trust for the purposes for which they were received. Money and shares of Common Stock held by the Trustee in trust hereunder need not be segregated from other funds except to the extent required by law. The Trustee shall be under no liability for interest on any money or shares of Common Stock received by it hereunder except as may be agreed from time to time by the Company and the Trustee. </w:t>
      </w:r>
    </w:p>
    <w:p>
      <w:pPr>
        <w:pStyle w:val="TextBody"/>
        <w:bidi w:val="0"/>
        <w:spacing w:before="240" w:after="0"/>
        <w:jc w:val="left"/>
        <w:rPr>
          <w:rFonts w:ascii="Times New Roman" w:hAnsi="Times New Roman"/>
          <w:sz w:val="20"/>
        </w:rPr>
      </w:pPr>
      <w:r>
        <w:rPr>
          <w:rFonts w:ascii="Times New Roman" w:hAnsi="Times New Roman"/>
          <w:sz w:val="20"/>
        </w:rPr>
        <w:t>Section 7.06</w:t>
      </w:r>
      <w:r>
        <w:rPr>
          <w:rFonts w:ascii="Times New Roman" w:hAnsi="Times New Roman"/>
          <w:i/>
          <w:sz w:val="20"/>
        </w:rPr>
        <w:t>. Compensation and Expenses of Trustee</w:t>
      </w:r>
      <w:r>
        <w:rPr>
          <w:rFonts w:ascii="Times New Roman" w:hAnsi="Times New Roman"/>
          <w:sz w:val="20"/>
        </w:rPr>
        <w:t xml:space="preserve">. The Company covenants and agrees to pay to the Trustee, in each capacity under this Indenture, from time to time and the Trustee shall receive such compensation for all services rendered by it hereunder in any capacity (which shall not be limited by any provision of law in regard to the compensation of a trustee of an express trust) as previously and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compensation and the reasonable expenses and disbursements of its agents and counsel and of all Persons not regularly in its employ) except any such expense, disbursement or advance as shall have been caused by its gross negligence, or willful misconduct, as finally adjudicated by a court of competent jurisdiction. The Company also covenants to indemnify the Trustee or any predecessor Trustee in any capacity under this Indenture and any other document or transaction entered into in connection herewith and its agents and any authenticating agent for, and to hold them harmless against, any loss, claim, damage, liability or expense incurred without gross negligence, or willful misconduct as finally adjudicated by a court of competent jurisdiction on the part of the Trustee, its officers, directors, agents or employees, or such agent or authenticating agent, as the case may be, and arising out of or in connection with the acceptance or administration of this Indenture or in any other capacity hereunder and the enforcement of this Indenture (including this Section 7.06), including the costs and expenses of defending themselves against any claim of liability in the premises. The obligations of the Company under this Section 7.06 to compensate or indemnify the Trustee and to pay or reimburse the Trustee for expenses, disbursements and advances shall be secured by a senior lien to which the Notes are hereby made subordinate on all money or property held or collected by the Trustee, except, subject to the effect of Section 6.05, funds held in trust herewith for the benefit of the Holders of particular Notes, and, for the avoidance of doubt, such lien shall not be extended in a manner that would conflict with the Company’s obligations to its other creditors.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 </w:t>
      </w:r>
    </w:p>
    <w:p>
      <w:pPr>
        <w:pStyle w:val="TextBody"/>
        <w:bidi w:val="0"/>
        <w:spacing w:before="240" w:after="0"/>
        <w:jc w:val="left"/>
        <w:rPr>
          <w:rFonts w:ascii="Times New Roman" w:hAnsi="Times New Roman"/>
          <w:sz w:val="20"/>
        </w:rPr>
      </w:pPr>
      <w:r>
        <w:rPr>
          <w:rFonts w:ascii="Times New Roman" w:hAnsi="Times New Roman"/>
          <w:sz w:val="20"/>
        </w:rPr>
        <w:t>Section 7.07</w:t>
      </w:r>
      <w:r>
        <w:rPr>
          <w:rFonts w:ascii="Times New Roman" w:hAnsi="Times New Roman"/>
          <w:i/>
          <w:sz w:val="20"/>
        </w:rPr>
        <w:t>. Officer</w:t>
      </w:r>
      <w:r>
        <w:rPr>
          <w:rFonts w:ascii="Times New Roman" w:hAnsi="Times New Roman"/>
          <w:sz w:val="20"/>
        </w:rPr>
        <w:t>’</w:t>
      </w:r>
      <w:r>
        <w:rPr>
          <w:rFonts w:ascii="Times New Roman" w:hAnsi="Times New Roman"/>
          <w:i/>
          <w:sz w:val="20"/>
        </w:rPr>
        <w:t>s Certificate as Evidence</w:t>
      </w:r>
      <w:r>
        <w:rPr>
          <w:rFonts w:ascii="Times New Roman" w:hAnsi="Times New Roman"/>
          <w:sz w:val="20"/>
        </w:rPr>
        <w:t xml:space="preserve">.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or willful misconduct on the part of the Trustee, be deemed to be conclusively proved and established by an Officer’s Certificate delivered to the Trustee, and such Officer’s Certificate, in the absence of gross negligence, or willful misconduct on the part of the Trustee, shall be full warrant to the Trustee for any action taken or omitted by it under the provisions of this Indenture upon the faith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7.08</w:t>
      </w:r>
      <w:r>
        <w:rPr>
          <w:rFonts w:ascii="Times New Roman" w:hAnsi="Times New Roman"/>
          <w:i/>
          <w:sz w:val="20"/>
        </w:rPr>
        <w:t>. Eligibility of Trustee</w:t>
      </w:r>
      <w:r>
        <w:rPr>
          <w:rFonts w:ascii="Times New Roman" w:hAnsi="Times New Roman"/>
          <w:sz w:val="20"/>
        </w:rPr>
        <w:t xml:space="preserve">. 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promptly in the manner and with the effect hereinafter specified in this Article. </w:t>
      </w:r>
    </w:p>
    <w:p>
      <w:pPr>
        <w:pStyle w:val="TextBody"/>
        <w:bidi w:val="0"/>
        <w:spacing w:before="240" w:after="0"/>
        <w:jc w:val="left"/>
        <w:rPr>
          <w:rFonts w:ascii="Times New Roman" w:hAnsi="Times New Roman"/>
          <w:sz w:val="20"/>
        </w:rPr>
      </w:pPr>
      <w:r>
        <w:rPr>
          <w:rFonts w:ascii="Times New Roman" w:hAnsi="Times New Roman"/>
          <w:sz w:val="20"/>
        </w:rPr>
        <w:t>Section 7.09</w:t>
      </w:r>
      <w:r>
        <w:rPr>
          <w:rFonts w:ascii="Times New Roman" w:hAnsi="Times New Roman"/>
          <w:i/>
          <w:sz w:val="20"/>
        </w:rPr>
        <w:t>. Resignation or Removal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45 days after the giving of such notice of resignation to the Holders, the resigning Trustee may, upon ten Business Days’ notice to the Company and the Holders, petition any court of competent jurisdiction, at the expense of the Company,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(b) In case at any time any of the following shall occur: </w:t>
      </w:r>
    </w:p>
    <w:p>
      <w:pPr>
        <w:pStyle w:val="TextBody"/>
        <w:bidi w:val="0"/>
        <w:spacing w:before="120" w:after="0"/>
        <w:jc w:val="left"/>
        <w:rPr>
          <w:rFonts w:ascii="Times New Roman" w:hAnsi="Times New Roman"/>
          <w:sz w:val="20"/>
        </w:rPr>
      </w:pPr>
      <w:r>
        <w:rPr>
          <w:rFonts w:ascii="Times New Roman" w:hAnsi="Times New Roman"/>
          <w:sz w:val="20"/>
        </w:rPr>
        <w:t xml:space="preserve">(i) the Trustee shall cease to be eligible in accordance with the provisions of Section 7.08 and shall fail to resign after written request therefor by the Company or by any such Holder, or </w:t>
      </w:r>
    </w:p>
    <w:p>
      <w:pPr>
        <w:pStyle w:val="TextBody"/>
        <w:bidi w:val="0"/>
        <w:spacing w:before="120" w:after="0"/>
        <w:jc w:val="left"/>
        <w:rPr>
          <w:rFonts w:ascii="Times New Roman" w:hAnsi="Times New Roman"/>
          <w:sz w:val="20"/>
        </w:rPr>
      </w:pPr>
      <w:r>
        <w:rPr>
          <w:rFonts w:ascii="Times New Roman" w:hAnsi="Times New Roman"/>
          <w:sz w:val="20"/>
        </w:rPr>
        <w:t xml:space="preserve">(ii)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either case, the Company may by a Board Resolution remove the Trustee, upon 30 days’ advance written notice,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Holders of a majority in aggregate principal amount of the Notes at the time outstanding, as determined in accordance with Section 8.04, may at any time remove the Trustee upon 30 days’ advance written notice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(d) Any resignation or removal of the Trustee and appointment of a successor trustee pursuant to any of the provisions of this Section 7.09 shall become effective upon acceptance of appointment by the successor trustee as provided in Section 7.10. </w:t>
      </w:r>
    </w:p>
    <w:p>
      <w:pPr>
        <w:pStyle w:val="TextBody"/>
        <w:bidi w:val="0"/>
        <w:spacing w:before="240" w:after="0"/>
        <w:jc w:val="left"/>
        <w:rPr>
          <w:rFonts w:ascii="Times New Roman" w:hAnsi="Times New Roman"/>
          <w:sz w:val="20"/>
        </w:rPr>
      </w:pPr>
      <w:r>
        <w:rPr>
          <w:rFonts w:ascii="Times New Roman" w:hAnsi="Times New Roman"/>
          <w:sz w:val="20"/>
        </w:rPr>
        <w:t>Section 7.10</w:t>
      </w:r>
      <w:r>
        <w:rPr>
          <w:rFonts w:ascii="Times New Roman" w:hAnsi="Times New Roman"/>
          <w:i/>
          <w:sz w:val="20"/>
        </w:rPr>
        <w:t>. Acceptance by Successor Trustee</w:t>
      </w:r>
      <w:r>
        <w:rPr>
          <w:rFonts w:ascii="Times New Roman" w:hAnsi="Times New Roman"/>
          <w:sz w:val="20"/>
        </w:rPr>
        <w:t xml:space="preserv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lien to which the Notes are hereby made subordinate on all money or property held or collected by such trustee as such, except for funds held in trust for the benefit of Holders of particular Notes, to secure any amounts then due it pursuant to the provisions of Section 7.06. </w:t>
      </w:r>
    </w:p>
    <w:p>
      <w:pPr>
        <w:pStyle w:val="TextBody"/>
        <w:bidi w:val="0"/>
        <w:spacing w:before="240" w:after="0"/>
        <w:jc w:val="left"/>
        <w:rPr>
          <w:rFonts w:ascii="Times New Roman" w:hAnsi="Times New Roman"/>
          <w:sz w:val="20"/>
        </w:rPr>
      </w:pPr>
      <w:r>
        <w:rPr>
          <w:rFonts w:ascii="Times New Roman" w:hAnsi="Times New Roman"/>
          <w:sz w:val="20"/>
        </w:rPr>
        <w:t xml:space="preserve">No successor trustee shall accept appointment as provided in this Section 7.10 unless at the time of such acceptance such successor trustee shall be eligible under the provisions of Section 7.08. </w:t>
      </w:r>
    </w:p>
    <w:p>
      <w:pPr>
        <w:pStyle w:val="TextBody"/>
        <w:bidi w:val="0"/>
        <w:spacing w:before="240" w:after="0"/>
        <w:jc w:val="left"/>
        <w:rPr>
          <w:rFonts w:ascii="Times New Roman" w:hAnsi="Times New Roman"/>
          <w:sz w:val="20"/>
        </w:rPr>
      </w:pPr>
      <w:r>
        <w:rPr>
          <w:rFonts w:ascii="Times New Roman" w:hAnsi="Times New Roman"/>
          <w:sz w:val="20"/>
        </w:rPr>
        <w:t xml:space="preserve">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7.11</w:t>
      </w:r>
      <w:r>
        <w:rPr>
          <w:rFonts w:ascii="Times New Roman" w:hAnsi="Times New Roman"/>
          <w:i/>
          <w:sz w:val="20"/>
        </w:rPr>
        <w:t>. Succession by Merger, Etc.</w:t>
      </w:r>
      <w:r>
        <w:rPr>
          <w:rFonts w:ascii="Times New Roman" w:hAnsi="Times New Roman"/>
          <w:sz w:val="20"/>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Times New Roman" w:hAnsi="Times New Roman"/>
          <w:i/>
          <w:sz w:val="20"/>
        </w:rPr>
        <w:t>provided</w:t>
      </w:r>
      <w:r>
        <w:rPr>
          <w:rFonts w:ascii="Times New Roman" w:hAnsi="Times New Roman"/>
          <w:sz w:val="20"/>
        </w:rPr>
        <w:t xml:space="preserve"> that in the case of any corporation or other entity succeeding to all or substantially all of the corporate trust business of the Trustee such corporation or other entity shall be eligible under the provisions of Section 7.08. </w:t>
      </w:r>
    </w:p>
    <w:p>
      <w:pPr>
        <w:pStyle w:val="TextBody"/>
        <w:bidi w:val="0"/>
        <w:spacing w:before="240" w:after="0"/>
        <w:jc w:val="left"/>
        <w:rPr>
          <w:rFonts w:ascii="Times New Roman" w:hAnsi="Times New Roman"/>
          <w:sz w:val="20"/>
        </w:rPr>
      </w:pPr>
      <w:r>
        <w:rPr>
          <w:rFonts w:ascii="Times New Roman" w:hAnsi="Times New Roman"/>
          <w:sz w:val="20"/>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right to adopt the certificate of authentication of any predecessor trustee or to authenticate Notes in the name of any predecessor trustee shall apply only to its successor or successors by merger, conversion or consolidation. </w:t>
      </w:r>
    </w:p>
    <w:p>
      <w:pPr>
        <w:pStyle w:val="TextBody"/>
        <w:bidi w:val="0"/>
        <w:spacing w:before="240" w:after="0"/>
        <w:jc w:val="left"/>
        <w:rPr>
          <w:rFonts w:ascii="Times New Roman" w:hAnsi="Times New Roman"/>
          <w:sz w:val="20"/>
        </w:rPr>
      </w:pPr>
      <w:r>
        <w:rPr>
          <w:rFonts w:ascii="Times New Roman" w:hAnsi="Times New Roman"/>
          <w:sz w:val="20"/>
        </w:rPr>
        <w:t>Section 7.12</w:t>
      </w:r>
      <w:r>
        <w:rPr>
          <w:rFonts w:ascii="Times New Roman" w:hAnsi="Times New Roman"/>
          <w:i/>
          <w:sz w:val="20"/>
        </w:rPr>
        <w:t>. Trustee</w:t>
      </w:r>
      <w:r>
        <w:rPr>
          <w:rFonts w:ascii="Times New Roman" w:hAnsi="Times New Roman"/>
          <w:sz w:val="20"/>
        </w:rPr>
        <w:t>’</w:t>
      </w:r>
      <w:r>
        <w:rPr>
          <w:rFonts w:ascii="Times New Roman" w:hAnsi="Times New Roman"/>
          <w:i/>
          <w:sz w:val="20"/>
        </w:rPr>
        <w:t>s Application for Instructions from the Company.</w:t>
      </w:r>
      <w:r>
        <w:rPr>
          <w:rFonts w:ascii="Times New Roman" w:hAnsi="Times New Roman"/>
          <w:sz w:val="20"/>
        </w:rPr>
        <w:t xml:space="preserve"> Any application by the Trustee for written instructions from the Company (other than with regard to any action proposed to be taken or omitted to be taken by the Trustee that affects the rights of the Holders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8 </w:t>
      </w:r>
    </w:p>
    <w:p>
      <w:pPr>
        <w:pStyle w:val="TextBody"/>
        <w:bidi w:val="0"/>
        <w:spacing w:before="0" w:after="0"/>
        <w:jc w:val="center"/>
        <w:rPr>
          <w:rFonts w:ascii="Times New Roman" w:hAnsi="Times New Roman"/>
          <w:sz w:val="20"/>
        </w:rPr>
      </w:pPr>
      <w:r>
        <w:rPr>
          <w:rFonts w:ascii="Times New Roman" w:hAnsi="Times New Roman"/>
          <w:sz w:val="20"/>
        </w:rPr>
        <w:t xml:space="preserve">CONCERNING THE HOLDERS </w:t>
      </w:r>
    </w:p>
    <w:p>
      <w:pPr>
        <w:pStyle w:val="TextBody"/>
        <w:bidi w:val="0"/>
        <w:spacing w:before="240" w:after="0"/>
        <w:jc w:val="left"/>
        <w:rPr>
          <w:rFonts w:ascii="Times New Roman" w:hAnsi="Times New Roman"/>
          <w:sz w:val="20"/>
        </w:rPr>
      </w:pPr>
      <w:r>
        <w:rPr>
          <w:rFonts w:ascii="Times New Roman" w:hAnsi="Times New Roman"/>
          <w:sz w:val="20"/>
        </w:rPr>
        <w:t>Section 8.01</w:t>
      </w:r>
      <w:r>
        <w:rPr>
          <w:rFonts w:ascii="Times New Roman" w:hAnsi="Times New Roman"/>
          <w:i/>
          <w:sz w:val="20"/>
        </w:rPr>
        <w:t>. Action by Holders</w:t>
      </w:r>
      <w:r>
        <w:rPr>
          <w:rFonts w:ascii="Times New Roman" w:hAnsi="Times New Roman"/>
          <w:sz w:val="20"/>
        </w:rPr>
        <w:t xml:space="preserve">.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 </w:t>
      </w:r>
    </w:p>
    <w:p>
      <w:pPr>
        <w:pStyle w:val="TextBody"/>
        <w:bidi w:val="0"/>
        <w:spacing w:before="240" w:after="0"/>
        <w:jc w:val="left"/>
        <w:rPr>
          <w:rFonts w:ascii="Times New Roman" w:hAnsi="Times New Roman"/>
          <w:sz w:val="20"/>
        </w:rPr>
      </w:pPr>
      <w:r>
        <w:rPr>
          <w:rFonts w:ascii="Times New Roman" w:hAnsi="Times New Roman"/>
          <w:sz w:val="20"/>
        </w:rPr>
        <w:t>Section 8.02</w:t>
      </w:r>
      <w:r>
        <w:rPr>
          <w:rFonts w:ascii="Times New Roman" w:hAnsi="Times New Roman"/>
          <w:i/>
          <w:sz w:val="20"/>
        </w:rPr>
        <w:t>. Proof of Execution by Holders</w:t>
      </w:r>
      <w:r>
        <w:rPr>
          <w:rFonts w:ascii="Times New Roman" w:hAnsi="Times New Roman"/>
          <w:sz w:val="20"/>
        </w:rPr>
        <w:t xml:space="preserve">. Subject to the provisions of Section 7.01, Section 7.02 and Section 9.05, proof of the execution of any instrument or writing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 </w:t>
      </w:r>
    </w:p>
    <w:p>
      <w:pPr>
        <w:pStyle w:val="TextBody"/>
        <w:bidi w:val="0"/>
        <w:spacing w:before="240" w:after="0"/>
        <w:jc w:val="left"/>
        <w:rPr>
          <w:rFonts w:ascii="Times New Roman" w:hAnsi="Times New Roman"/>
          <w:sz w:val="20"/>
        </w:rPr>
      </w:pPr>
      <w:r>
        <w:rPr>
          <w:rFonts w:ascii="Times New Roman" w:hAnsi="Times New Roman"/>
          <w:sz w:val="20"/>
        </w:rPr>
        <w:t>Section 8.03</w:t>
      </w:r>
      <w:r>
        <w:rPr>
          <w:rFonts w:ascii="Times New Roman" w:hAnsi="Times New Roman"/>
          <w:i/>
          <w:sz w:val="20"/>
        </w:rPr>
        <w:t>. Who Are Deemed Absolute Owners</w:t>
      </w:r>
      <w:r>
        <w:rPr>
          <w:rFonts w:ascii="Times New Roman" w:hAnsi="Times New Roman"/>
          <w:sz w:val="20"/>
        </w:rPr>
        <w:t xml:space="preserve">.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any Fundamental Change Repurchase Price) of and (subject to Section 2.03) accrued and unpaid interest on such Note, for conversion of such Note and for all other purposes under this Indenture; and neither the Company nor the Trustee nor any Paying Agent nor any Conversion Agent nor any Note Registrar shall be affected nor incur any liability by any notice to the contrary. The sole registered holder of a Global Note shall be the 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 following an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8.04</w:t>
      </w:r>
      <w:r>
        <w:rPr>
          <w:rFonts w:ascii="Times New Roman" w:hAnsi="Times New Roman"/>
          <w:i/>
          <w:sz w:val="20"/>
        </w:rPr>
        <w:t>. Company-Owned Notes Disregarded</w:t>
      </w:r>
      <w:r>
        <w:rPr>
          <w:rFonts w:ascii="Times New Roman" w:hAnsi="Times New Roman"/>
          <w:sz w:val="20"/>
        </w:rPr>
        <w:t xml:space="preserve">. In determining whether the Holders of the requisite aggregate principal amount of Notes have concurred in any direction, consent, waiver or other action under this Indenture, Notes that are owned by the Company, by any Subsidiary thereof or by any Affiliate of the Company (other than Sylebra Capital LTD and any of its Affiliates) or any Subsidiary thereof shall be disregarded and deemed not to be outstanding for the purpose of any such determination; </w:t>
      </w:r>
      <w:r>
        <w:rPr>
          <w:rFonts w:ascii="Times New Roman" w:hAnsi="Times New Roman"/>
          <w:i/>
          <w:sz w:val="20"/>
        </w:rPr>
        <w:t>provided</w:t>
      </w:r>
      <w:r>
        <w:rPr>
          <w:rFonts w:ascii="Times New Roman" w:hAnsi="Times New Roman"/>
          <w:sz w:val="20"/>
        </w:rPr>
        <w:t xml:space="preserve">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 </w:t>
      </w:r>
    </w:p>
    <w:p>
      <w:pPr>
        <w:pStyle w:val="TextBody"/>
        <w:bidi w:val="0"/>
        <w:spacing w:before="240" w:after="0"/>
        <w:jc w:val="left"/>
        <w:rPr>
          <w:rFonts w:ascii="Times New Roman" w:hAnsi="Times New Roman"/>
          <w:sz w:val="20"/>
        </w:rPr>
      </w:pPr>
      <w:r>
        <w:rPr>
          <w:rFonts w:ascii="Times New Roman" w:hAnsi="Times New Roman"/>
          <w:sz w:val="20"/>
        </w:rPr>
        <w:t>Section 8.05</w:t>
      </w:r>
      <w:r>
        <w:rPr>
          <w:rFonts w:ascii="Times New Roman" w:hAnsi="Times New Roman"/>
          <w:i/>
          <w:sz w:val="20"/>
        </w:rPr>
        <w:t>. Revocation of Consents; Future Holders Bound</w:t>
      </w:r>
      <w:r>
        <w:rPr>
          <w:rFonts w:ascii="Times New Roman" w:hAnsi="Times New Roman"/>
          <w:sz w:val="20"/>
        </w:rPr>
        <w:t xml:space="preserve">.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 </w:t>
      </w:r>
    </w:p>
    <w:p>
      <w:pPr>
        <w:pStyle w:val="TextBody"/>
        <w:bidi w:val="0"/>
        <w:spacing w:before="240" w:after="0"/>
        <w:jc w:val="center"/>
        <w:rPr>
          <w:rFonts w:ascii="Times New Roman" w:hAnsi="Times New Roman"/>
          <w:sz w:val="20"/>
        </w:rPr>
      </w:pPr>
      <w:r>
        <w:rPr>
          <w:rFonts w:ascii="Times New Roman" w:hAnsi="Times New Roman"/>
          <w:sz w:val="20"/>
        </w:rPr>
        <w:t xml:space="preserve">ARTICLE 9 </w:t>
      </w:r>
    </w:p>
    <w:p>
      <w:pPr>
        <w:pStyle w:val="TextBody"/>
        <w:bidi w:val="0"/>
        <w:spacing w:before="0" w:after="0"/>
        <w:jc w:val="center"/>
        <w:rPr>
          <w:rFonts w:ascii="Times New Roman" w:hAnsi="Times New Roman"/>
          <w:sz w:val="20"/>
        </w:rPr>
      </w:pPr>
      <w:r>
        <w:rPr>
          <w:rFonts w:ascii="Times New Roman" w:hAnsi="Times New Roman"/>
          <w:sz w:val="20"/>
        </w:rPr>
        <w:t xml:space="preserve">HOLDERS’ MEETINGS </w:t>
      </w:r>
    </w:p>
    <w:p>
      <w:pPr>
        <w:pStyle w:val="TextBody"/>
        <w:bidi w:val="0"/>
        <w:spacing w:before="240" w:after="0"/>
        <w:jc w:val="left"/>
        <w:rPr>
          <w:rFonts w:ascii="Times New Roman" w:hAnsi="Times New Roman"/>
          <w:sz w:val="20"/>
        </w:rPr>
      </w:pPr>
      <w:r>
        <w:rPr>
          <w:rFonts w:ascii="Times New Roman" w:hAnsi="Times New Roman"/>
          <w:sz w:val="20"/>
        </w:rPr>
        <w:t>Section 9.01</w:t>
      </w:r>
      <w:r>
        <w:rPr>
          <w:rFonts w:ascii="Times New Roman" w:hAnsi="Times New Roman"/>
          <w:i/>
          <w:sz w:val="20"/>
        </w:rPr>
        <w:t>. Purpose of Meetings</w:t>
      </w:r>
      <w:r>
        <w:rPr>
          <w:rFonts w:ascii="Times New Roman" w:hAnsi="Times New Roman"/>
          <w:sz w:val="20"/>
        </w:rPr>
        <w:t xml:space="preserve">. A meeting of Holders may be called at any time and from time to time pursuant to the provisions of this Article 9 for any of the following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 </w:t>
      </w:r>
    </w:p>
    <w:p>
      <w:pPr>
        <w:pStyle w:val="TextBody"/>
        <w:bidi w:val="0"/>
        <w:spacing w:before="240" w:after="0"/>
        <w:jc w:val="left"/>
        <w:rPr>
          <w:rFonts w:ascii="Times New Roman" w:hAnsi="Times New Roman"/>
          <w:sz w:val="20"/>
        </w:rPr>
      </w:pPr>
      <w:r>
        <w:rPr>
          <w:rFonts w:ascii="Times New Roman" w:hAnsi="Times New Roman"/>
          <w:sz w:val="20"/>
        </w:rPr>
        <w:t xml:space="preserve">(b) to remove the Trustee and nominate a successor trustee pursuant to the provisions of Article 7; </w:t>
      </w:r>
    </w:p>
    <w:p>
      <w:pPr>
        <w:pStyle w:val="TextBody"/>
        <w:bidi w:val="0"/>
        <w:spacing w:before="240" w:after="0"/>
        <w:jc w:val="left"/>
        <w:rPr>
          <w:rFonts w:ascii="Times New Roman" w:hAnsi="Times New Roman"/>
          <w:sz w:val="20"/>
        </w:rPr>
      </w:pPr>
      <w:r>
        <w:rPr>
          <w:rFonts w:ascii="Times New Roman" w:hAnsi="Times New Roman"/>
          <w:sz w:val="20"/>
        </w:rPr>
        <w:t xml:space="preserve">(c) to consent to the execution of an indenture or indentures supplemental hereto pursuant to the provisions of Section 10.02; or </w:t>
      </w:r>
    </w:p>
    <w:p>
      <w:pPr>
        <w:pStyle w:val="TextBody"/>
        <w:bidi w:val="0"/>
        <w:spacing w:before="240" w:after="0"/>
        <w:jc w:val="left"/>
        <w:rPr>
          <w:rFonts w:ascii="Times New Roman" w:hAnsi="Times New Roman"/>
          <w:sz w:val="20"/>
        </w:rPr>
      </w:pPr>
      <w:r>
        <w:rPr>
          <w:rFonts w:ascii="Times New Roman" w:hAnsi="Times New Roman"/>
          <w:sz w:val="20"/>
        </w:rPr>
        <w:t xml:space="preserve">(d) to take any other action authorized to be taken by or on behalf of the Holders of any specified aggregate principal amount of the Notes under any other provision of this Indenture or under applicable law. </w:t>
      </w:r>
    </w:p>
    <w:p>
      <w:pPr>
        <w:pStyle w:val="TextBody"/>
        <w:bidi w:val="0"/>
        <w:spacing w:before="240" w:after="0"/>
        <w:jc w:val="left"/>
        <w:rPr>
          <w:rFonts w:ascii="Times New Roman" w:hAnsi="Times New Roman"/>
          <w:sz w:val="20"/>
        </w:rPr>
      </w:pPr>
      <w:r>
        <w:rPr>
          <w:rFonts w:ascii="Times New Roman" w:hAnsi="Times New Roman"/>
          <w:sz w:val="20"/>
        </w:rPr>
        <w:t>Section 9.02</w:t>
      </w:r>
      <w:r>
        <w:rPr>
          <w:rFonts w:ascii="Times New Roman" w:hAnsi="Times New Roman"/>
          <w:i/>
          <w:sz w:val="20"/>
        </w:rPr>
        <w:t>. Call of Meetings by Trustee</w:t>
      </w:r>
      <w:r>
        <w:rPr>
          <w:rFonts w:ascii="Times New Roman" w:hAnsi="Times New Roman"/>
          <w:sz w:val="20"/>
        </w:rPr>
        <w:t xml:space="preserve">.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 </w:t>
      </w:r>
    </w:p>
    <w:p>
      <w:pPr>
        <w:pStyle w:val="TextBody"/>
        <w:bidi w:val="0"/>
        <w:spacing w:before="240" w:after="0"/>
        <w:jc w:val="left"/>
        <w:rPr>
          <w:rFonts w:ascii="Times New Roman" w:hAnsi="Times New Roman"/>
          <w:sz w:val="20"/>
        </w:rPr>
      </w:pPr>
      <w:r>
        <w:rPr>
          <w:rFonts w:ascii="Times New Roman" w:hAnsi="Times New Roman"/>
          <w:sz w:val="20"/>
        </w:rPr>
        <w:t xml:space="preserve">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 </w:t>
      </w:r>
    </w:p>
    <w:p>
      <w:pPr>
        <w:pStyle w:val="TextBody"/>
        <w:bidi w:val="0"/>
        <w:spacing w:before="240" w:after="0"/>
        <w:jc w:val="left"/>
        <w:rPr>
          <w:rFonts w:ascii="Times New Roman" w:hAnsi="Times New Roman"/>
          <w:sz w:val="20"/>
        </w:rPr>
      </w:pPr>
      <w:r>
        <w:rPr>
          <w:rFonts w:ascii="Times New Roman" w:hAnsi="Times New Roman"/>
          <w:sz w:val="20"/>
        </w:rPr>
        <w:t>Section 9.03</w:t>
      </w:r>
      <w:r>
        <w:rPr>
          <w:rFonts w:ascii="Times New Roman" w:hAnsi="Times New Roman"/>
          <w:i/>
          <w:sz w:val="20"/>
        </w:rPr>
        <w:t>. Call of Meetings by the Company or the Holders.</w:t>
      </w:r>
      <w:r>
        <w:rPr>
          <w:rFonts w:ascii="Times New Roman" w:hAnsi="Times New Roman"/>
          <w:sz w:val="20"/>
        </w:rPr>
        <w:t xml:space="preserve">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 </w:t>
      </w:r>
    </w:p>
    <w:p>
      <w:pPr>
        <w:pStyle w:val="TextBody"/>
        <w:bidi w:val="0"/>
        <w:spacing w:before="240" w:after="0"/>
        <w:jc w:val="left"/>
        <w:rPr>
          <w:rFonts w:ascii="Times New Roman" w:hAnsi="Times New Roman"/>
          <w:sz w:val="20"/>
        </w:rPr>
      </w:pPr>
      <w:r>
        <w:rPr>
          <w:rFonts w:ascii="Times New Roman" w:hAnsi="Times New Roman"/>
          <w:sz w:val="20"/>
        </w:rPr>
        <w:t>Section 9.04</w:t>
      </w:r>
      <w:r>
        <w:rPr>
          <w:rFonts w:ascii="Times New Roman" w:hAnsi="Times New Roman"/>
          <w:i/>
          <w:sz w:val="20"/>
        </w:rPr>
        <w:t>. Qualifications for Voting</w:t>
      </w:r>
      <w:r>
        <w:rPr>
          <w:rFonts w:ascii="Times New Roman" w:hAnsi="Times New Roman"/>
          <w:sz w:val="20"/>
        </w:rPr>
        <w:t xml:space="preserve">.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9.05</w:t>
      </w:r>
      <w:r>
        <w:rPr>
          <w:rFonts w:ascii="Times New Roman" w:hAnsi="Times New Roman"/>
          <w:i/>
          <w:sz w:val="20"/>
        </w:rPr>
        <w:t>. Regulations</w:t>
      </w:r>
      <w:r>
        <w:rPr>
          <w:rFonts w:ascii="Times New Roman" w:hAnsi="Times New Roman"/>
          <w:sz w:val="20"/>
        </w:rPr>
        <w:t xml:space="preserve">.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represented at the meeting and entitled to vote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8.04, at any meeting of Holders each Holder or proxyholder shall be entitled to one vote for each $1,000 principal amount of Notes held or represented by him or her;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 </w:t>
      </w:r>
    </w:p>
    <w:p>
      <w:pPr>
        <w:pStyle w:val="TextBody"/>
        <w:bidi w:val="0"/>
        <w:spacing w:before="240" w:after="0"/>
        <w:jc w:val="left"/>
        <w:rPr>
          <w:rFonts w:ascii="Times New Roman" w:hAnsi="Times New Roman"/>
          <w:sz w:val="20"/>
        </w:rPr>
      </w:pPr>
      <w:r>
        <w:rPr>
          <w:rFonts w:ascii="Times New Roman" w:hAnsi="Times New Roman"/>
          <w:sz w:val="20"/>
        </w:rPr>
        <w:t>Section 9.06</w:t>
      </w:r>
      <w:r>
        <w:rPr>
          <w:rFonts w:ascii="Times New Roman" w:hAnsi="Times New Roman"/>
          <w:i/>
          <w:sz w:val="20"/>
        </w:rPr>
        <w:t>. Voting</w:t>
      </w:r>
      <w:r>
        <w:rPr>
          <w:rFonts w:ascii="Times New Roman" w:hAnsi="Times New Roman"/>
          <w:sz w:val="20"/>
        </w:rPr>
        <w:t xml:space="preserve">.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record so signed and verified shall be conclusive evidence of the matters therein stated. </w:t>
      </w:r>
    </w:p>
    <w:p>
      <w:pPr>
        <w:pStyle w:val="TextBody"/>
        <w:bidi w:val="0"/>
        <w:spacing w:before="240" w:after="0"/>
        <w:jc w:val="left"/>
        <w:rPr>
          <w:rFonts w:ascii="Times New Roman" w:hAnsi="Times New Roman"/>
          <w:sz w:val="20"/>
        </w:rPr>
      </w:pPr>
      <w:r>
        <w:rPr>
          <w:rFonts w:ascii="Times New Roman" w:hAnsi="Times New Roman"/>
          <w:sz w:val="20"/>
        </w:rPr>
        <w:t>Section 9.07</w:t>
      </w:r>
      <w:r>
        <w:rPr>
          <w:rFonts w:ascii="Times New Roman" w:hAnsi="Times New Roman"/>
          <w:i/>
          <w:sz w:val="20"/>
        </w:rPr>
        <w:t>. No Delay of Rights by Meeting</w:t>
      </w:r>
      <w:r>
        <w:rPr>
          <w:rFonts w:ascii="Times New Roman" w:hAnsi="Times New Roman"/>
          <w:sz w:val="20"/>
        </w:rPr>
        <w:t xml:space="preserve">.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 </w:t>
      </w:r>
    </w:p>
    <w:p>
      <w:pPr>
        <w:pStyle w:val="TextBody"/>
        <w:bidi w:val="0"/>
        <w:spacing w:before="240" w:after="0"/>
        <w:jc w:val="center"/>
        <w:rPr>
          <w:rFonts w:ascii="Times New Roman" w:hAnsi="Times New Roman"/>
          <w:sz w:val="20"/>
        </w:rPr>
      </w:pPr>
      <w:r>
        <w:rPr>
          <w:rFonts w:ascii="Times New Roman" w:hAnsi="Times New Roman"/>
          <w:sz w:val="20"/>
        </w:rPr>
        <w:t xml:space="preserve">ARTICLE 10 </w:t>
      </w:r>
    </w:p>
    <w:p>
      <w:pPr>
        <w:pStyle w:val="TextBody"/>
        <w:bidi w:val="0"/>
        <w:spacing w:before="0" w:after="0"/>
        <w:jc w:val="center"/>
        <w:rPr>
          <w:rFonts w:ascii="Times New Roman" w:hAnsi="Times New Roman"/>
          <w:sz w:val="20"/>
        </w:rPr>
      </w:pPr>
      <w:r>
        <w:rPr>
          <w:rFonts w:ascii="Times New Roman" w:hAnsi="Times New Roman"/>
          <w:sz w:val="20"/>
        </w:rPr>
        <w:t xml:space="preserve">SUPPLEMENTAL INDENTURES </w:t>
      </w:r>
    </w:p>
    <w:p>
      <w:pPr>
        <w:pStyle w:val="TextBody"/>
        <w:bidi w:val="0"/>
        <w:spacing w:before="240" w:after="0"/>
        <w:jc w:val="left"/>
        <w:rPr>
          <w:rFonts w:ascii="Times New Roman" w:hAnsi="Times New Roman"/>
          <w:sz w:val="20"/>
        </w:rPr>
      </w:pPr>
      <w:r>
        <w:rPr>
          <w:rFonts w:ascii="Times New Roman" w:hAnsi="Times New Roman"/>
          <w:sz w:val="20"/>
        </w:rPr>
        <w:t>Section 10.01</w:t>
      </w:r>
      <w:r>
        <w:rPr>
          <w:rFonts w:ascii="Times New Roman" w:hAnsi="Times New Roman"/>
          <w:i/>
          <w:sz w:val="20"/>
        </w:rPr>
        <w:t>. Supplemental Indentures Without Consent of Holders</w:t>
      </w:r>
      <w:r>
        <w:rPr>
          <w:rFonts w:ascii="Times New Roman" w:hAnsi="Times New Roman"/>
          <w:sz w:val="20"/>
        </w:rPr>
        <w:t xml:space="preserve">. The Company, the Guarantors and the Trustee, at the Company’s expense, may from time to time and at any time enter into an indenture or indentures supplemental hereto for one or more of the following purposes: </w:t>
      </w:r>
    </w:p>
    <w:p>
      <w:pPr>
        <w:pStyle w:val="TextBody"/>
        <w:bidi w:val="0"/>
        <w:spacing w:before="240" w:after="0"/>
        <w:jc w:val="left"/>
        <w:rPr>
          <w:rFonts w:ascii="Times New Roman" w:hAnsi="Times New Roman"/>
          <w:sz w:val="20"/>
        </w:rPr>
      </w:pPr>
      <w:r>
        <w:rPr>
          <w:rFonts w:ascii="Times New Roman" w:hAnsi="Times New Roman"/>
          <w:sz w:val="20"/>
        </w:rPr>
        <w:t xml:space="preserve">(a) to cure any ambiguity, omission, defect or inconsistency as evidenced to the Trustee in an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(b) to provide for the assumption by a Successor Entity of the obligations of the Company or a Guarantor under this Indenture pursuant to Article 11; </w:t>
      </w:r>
    </w:p>
    <w:p>
      <w:pPr>
        <w:pStyle w:val="TextBody"/>
        <w:bidi w:val="0"/>
        <w:spacing w:before="240" w:after="0"/>
        <w:jc w:val="left"/>
        <w:rPr>
          <w:rFonts w:ascii="Times New Roman" w:hAnsi="Times New Roman"/>
          <w:sz w:val="20"/>
        </w:rPr>
      </w:pPr>
      <w:r>
        <w:rPr>
          <w:rFonts w:ascii="Times New Roman" w:hAnsi="Times New Roman"/>
          <w:sz w:val="20"/>
        </w:rPr>
        <w:t xml:space="preserve">(c) to add guarantees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(d) to secure the Notes or the Note Guarantees; </w:t>
      </w:r>
    </w:p>
    <w:p>
      <w:pPr>
        <w:pStyle w:val="TextBody"/>
        <w:bidi w:val="0"/>
        <w:spacing w:before="240" w:after="0"/>
        <w:jc w:val="left"/>
        <w:rPr>
          <w:rFonts w:ascii="Times New Roman" w:hAnsi="Times New Roman"/>
          <w:sz w:val="20"/>
        </w:rPr>
      </w:pPr>
      <w:r>
        <w:rPr>
          <w:rFonts w:ascii="Times New Roman" w:hAnsi="Times New Roman"/>
          <w:sz w:val="20"/>
        </w:rPr>
        <w:t xml:space="preserve">(e) to add to the covenants or Events of Default of the Company for the benefit of the Holders or surrender any right or power conferred upon the Company or the Guarantors; </w:t>
      </w:r>
    </w:p>
    <w:p>
      <w:pPr>
        <w:pStyle w:val="TextBody"/>
        <w:bidi w:val="0"/>
        <w:spacing w:before="240" w:after="0"/>
        <w:jc w:val="left"/>
        <w:rPr>
          <w:rFonts w:ascii="Times New Roman" w:hAnsi="Times New Roman"/>
          <w:sz w:val="20"/>
        </w:rPr>
      </w:pPr>
      <w:r>
        <w:rPr>
          <w:rFonts w:ascii="Times New Roman" w:hAnsi="Times New Roman"/>
          <w:sz w:val="20"/>
        </w:rPr>
        <w:t xml:space="preserve">(f) to make any change that does not adversely affect the rights of any Holder in any material respect, as certified by the Company in an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(g) in connection with any Share Exchange Event, to provide that the Notes are convertible into Reference Property, subject to the provisions of Section 14.02, and make such related changes to the terms of the Notes to the extent expressly required by Section 14.07; </w:t>
      </w:r>
    </w:p>
    <w:p>
      <w:pPr>
        <w:pStyle w:val="TextBody"/>
        <w:bidi w:val="0"/>
        <w:spacing w:before="240" w:after="0"/>
        <w:jc w:val="left"/>
        <w:rPr>
          <w:rFonts w:ascii="Times New Roman" w:hAnsi="Times New Roman"/>
          <w:sz w:val="20"/>
        </w:rPr>
      </w:pPr>
      <w:r>
        <w:rPr>
          <w:rFonts w:ascii="Times New Roman" w:hAnsi="Times New Roman"/>
          <w:sz w:val="20"/>
        </w:rPr>
        <w:t xml:space="preserve">(h)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to comply with the rules of any applicable Depositary, including The Depository Trust Company, so long as such amendment does not adversely affect the rights of any Holder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(j) to appoint a successor Trustee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(k) to increase the Conversion Rate as provided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(l) to provide for the acceptance of appointment by a successor Trustee, security registrar, Paying Agent, Bid Solicitation Agent or Conversion Agent to facilitate the administration of the trusts under this Indenture by more than one trustee; or </w:t>
      </w:r>
    </w:p>
    <w:p>
      <w:pPr>
        <w:pStyle w:val="TextBody"/>
        <w:bidi w:val="0"/>
        <w:spacing w:before="240" w:after="0"/>
        <w:jc w:val="left"/>
        <w:rPr>
          <w:rFonts w:ascii="Times New Roman" w:hAnsi="Times New Roman"/>
          <w:sz w:val="20"/>
        </w:rPr>
      </w:pPr>
      <w:r>
        <w:rPr>
          <w:rFonts w:ascii="Times New Roman" w:hAnsi="Times New Roman"/>
          <w:sz w:val="20"/>
        </w:rPr>
        <w:t xml:space="preserve">(m) to irrevocably elect a Settlement Method or a Specified Dollar Amount, or eliminate the Company’s right to elect a Settlement Method (including at the Company’s option upon an irrevocable election as provided in Section 14.02(a)(iii));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election or elimination shall affect any Settlement Method theretofore elected (or deemed to be elected) with respect to any Note pursuant to the provisions of Article 14. </w:t>
      </w:r>
    </w:p>
    <w:p>
      <w:pPr>
        <w:pStyle w:val="TextBody"/>
        <w:bidi w:val="0"/>
        <w:spacing w:before="240" w:after="0"/>
        <w:jc w:val="left"/>
        <w:rPr>
          <w:rFonts w:ascii="Times New Roman" w:hAnsi="Times New Roman"/>
          <w:sz w:val="20"/>
        </w:rPr>
      </w:pPr>
      <w:r>
        <w:rPr>
          <w:rFonts w:ascii="Times New Roman" w:hAnsi="Times New Roman"/>
          <w:sz w:val="20"/>
        </w:rPr>
        <w:t xml:space="preserve">Upon the written request of the Company, the Trustee is hereby authorized to join with the Company and the Guarantors in the execution of any such supplemental indenture and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supplemental indenture authorized by the provisions of this Section 10.01 may be executed by the Company and the Trustee without the consent of the Holders of any of the Notes at the time outstanding, notwithstanding any of the provisions of Section 10.02. </w:t>
      </w:r>
    </w:p>
    <w:p>
      <w:pPr>
        <w:pStyle w:val="TextBody"/>
        <w:bidi w:val="0"/>
        <w:spacing w:before="240" w:after="0"/>
        <w:jc w:val="left"/>
        <w:rPr>
          <w:rFonts w:ascii="Times New Roman" w:hAnsi="Times New Roman"/>
          <w:sz w:val="20"/>
        </w:rPr>
      </w:pPr>
      <w:r>
        <w:rPr>
          <w:rFonts w:ascii="Times New Roman" w:hAnsi="Times New Roman"/>
          <w:sz w:val="20"/>
        </w:rPr>
        <w:t xml:space="preserve">After any supplemental indenture under this Section 10.01 becomes effective, the Company shall deliver to the Holders a notice briefly describing such supplemental indenture. However, the failure to give such notice to all the Holders, or any defect in the notice, will not impair or affect the validity of the supplemental indenture. </w:t>
      </w:r>
    </w:p>
    <w:p>
      <w:pPr>
        <w:pStyle w:val="TextBody"/>
        <w:bidi w:val="0"/>
        <w:spacing w:before="240" w:after="0"/>
        <w:jc w:val="left"/>
        <w:rPr>
          <w:rFonts w:ascii="Times New Roman" w:hAnsi="Times New Roman"/>
          <w:sz w:val="20"/>
        </w:rPr>
      </w:pPr>
      <w:r>
        <w:rPr>
          <w:rFonts w:ascii="Times New Roman" w:hAnsi="Times New Roman"/>
          <w:sz w:val="20"/>
        </w:rPr>
        <w:t>Section 10.02</w:t>
      </w:r>
      <w:r>
        <w:rPr>
          <w:rFonts w:ascii="Times New Roman" w:hAnsi="Times New Roman"/>
          <w:i/>
          <w:sz w:val="20"/>
        </w:rPr>
        <w:t>. Supplemental Indentures with Consent of Holders</w:t>
      </w:r>
      <w:r>
        <w:rPr>
          <w:rFonts w:ascii="Times New Roman" w:hAnsi="Times New Roman"/>
          <w:sz w:val="20"/>
        </w:rPr>
        <w:t xml:space="preserve">.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the Company, the Guarantors and the Trustee, at the Company’s expense, may from time to time and at any time enter into an indenture or indentures supplemental hereto for the purpose of adding any provisions to or changing in any manner or eliminating any of the provisions of this Indenture, the Notes, the Note Guarantees or any supplemental indenture or of modifying in any manner the rights of the 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without the consent of each Holder of an outstanding Note affected, no such supplemental indenture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reduce the principal amount of Notes whose Holders must consent to an amendment; </w:t>
      </w:r>
    </w:p>
    <w:p>
      <w:pPr>
        <w:pStyle w:val="TextBody"/>
        <w:bidi w:val="0"/>
        <w:spacing w:before="240" w:after="0"/>
        <w:jc w:val="left"/>
        <w:rPr>
          <w:rFonts w:ascii="Times New Roman" w:hAnsi="Times New Roman"/>
          <w:sz w:val="20"/>
        </w:rPr>
      </w:pPr>
      <w:r>
        <w:rPr>
          <w:rFonts w:ascii="Times New Roman" w:hAnsi="Times New Roman"/>
          <w:sz w:val="20"/>
        </w:rPr>
        <w:t xml:space="preserve">(b) reduce the rate of or extend the stated time for payment of any interest on any Note; </w:t>
      </w:r>
    </w:p>
    <w:p>
      <w:pPr>
        <w:pStyle w:val="TextBody"/>
        <w:bidi w:val="0"/>
        <w:spacing w:before="240" w:after="0"/>
        <w:jc w:val="left"/>
        <w:rPr>
          <w:rFonts w:ascii="Times New Roman" w:hAnsi="Times New Roman"/>
          <w:sz w:val="20"/>
        </w:rPr>
      </w:pPr>
      <w:r>
        <w:rPr>
          <w:rFonts w:ascii="Times New Roman" w:hAnsi="Times New Roman"/>
          <w:sz w:val="20"/>
        </w:rPr>
        <w:t xml:space="preserve">(c) reduce the principal of or extend the Maturity Date of any Note; </w:t>
      </w:r>
    </w:p>
    <w:p>
      <w:pPr>
        <w:pStyle w:val="TextBody"/>
        <w:bidi w:val="0"/>
        <w:spacing w:before="240" w:after="0"/>
        <w:jc w:val="left"/>
        <w:rPr>
          <w:rFonts w:ascii="Times New Roman" w:hAnsi="Times New Roman"/>
          <w:sz w:val="20"/>
        </w:rPr>
      </w:pPr>
      <w:r>
        <w:rPr>
          <w:rFonts w:ascii="Times New Roman" w:hAnsi="Times New Roman"/>
          <w:sz w:val="20"/>
        </w:rPr>
        <w:t xml:space="preserve">(d) except as required by this Indenture, make any change that adversely affects the conversion rights of any Notes; </w:t>
      </w:r>
    </w:p>
    <w:p>
      <w:pPr>
        <w:pStyle w:val="TextBody"/>
        <w:bidi w:val="0"/>
        <w:spacing w:before="240" w:after="0"/>
        <w:jc w:val="left"/>
        <w:rPr>
          <w:rFonts w:ascii="Times New Roman" w:hAnsi="Times New Roman"/>
          <w:sz w:val="20"/>
        </w:rPr>
      </w:pPr>
      <w:r>
        <w:rPr>
          <w:rFonts w:ascii="Times New Roman" w:hAnsi="Times New Roman"/>
          <w:sz w:val="20"/>
        </w:rPr>
        <w:t xml:space="preserve">(e) reduce the Redemption Price or the Fundamental Change Repurchase Price of any Note or amend or modify in any manner adverse to the Holders the Company’s obligation to make such payments, whether through an amendment or waiver of provisions in the covenants, definitions or otherwise; </w:t>
      </w:r>
    </w:p>
    <w:p>
      <w:pPr>
        <w:pStyle w:val="TextBody"/>
        <w:bidi w:val="0"/>
        <w:spacing w:before="240" w:after="0"/>
        <w:jc w:val="left"/>
        <w:rPr>
          <w:rFonts w:ascii="Times New Roman" w:hAnsi="Times New Roman"/>
          <w:sz w:val="20"/>
        </w:rPr>
      </w:pPr>
      <w:r>
        <w:rPr>
          <w:rFonts w:ascii="Times New Roman" w:hAnsi="Times New Roman"/>
          <w:sz w:val="20"/>
        </w:rPr>
        <w:t xml:space="preserve">(f) make any Note payable in a currency, or at a place of payment, other than that stated in the Note; </w:t>
      </w:r>
    </w:p>
    <w:p>
      <w:pPr>
        <w:pStyle w:val="TextBody"/>
        <w:bidi w:val="0"/>
        <w:spacing w:before="240" w:after="0"/>
        <w:jc w:val="left"/>
        <w:rPr>
          <w:rFonts w:ascii="Times New Roman" w:hAnsi="Times New Roman"/>
          <w:sz w:val="20"/>
        </w:rPr>
      </w:pPr>
      <w:r>
        <w:rPr>
          <w:rFonts w:ascii="Times New Roman" w:hAnsi="Times New Roman"/>
          <w:sz w:val="20"/>
        </w:rPr>
        <w:t xml:space="preserve">(g) change the ranking of the Notes; </w:t>
      </w:r>
    </w:p>
    <w:p>
      <w:pPr>
        <w:pStyle w:val="TextBody"/>
        <w:bidi w:val="0"/>
        <w:spacing w:before="240" w:after="0"/>
        <w:jc w:val="left"/>
        <w:rPr>
          <w:rFonts w:ascii="Times New Roman" w:hAnsi="Times New Roman"/>
          <w:sz w:val="20"/>
        </w:rPr>
      </w:pPr>
      <w:r>
        <w:rPr>
          <w:rFonts w:ascii="Times New Roman" w:hAnsi="Times New Roman"/>
          <w:sz w:val="20"/>
        </w:rPr>
        <w:t xml:space="preserve">(h) make any change in this Article 10 that requires each Holder’s consent or in the waiver provisions in Section 6.02 or Section 6.09; or </w:t>
      </w:r>
    </w:p>
    <w:p>
      <w:pPr>
        <w:pStyle w:val="TextBody"/>
        <w:bidi w:val="0"/>
        <w:spacing w:before="240" w:after="0"/>
        <w:jc w:val="left"/>
        <w:rPr>
          <w:rFonts w:ascii="Times New Roman" w:hAnsi="Times New Roman"/>
          <w:sz w:val="20"/>
        </w:rPr>
      </w:pPr>
      <w:r>
        <w:rPr>
          <w:rFonts w:ascii="Times New Roman" w:hAnsi="Times New Roman"/>
          <w:sz w:val="20"/>
        </w:rPr>
        <w:t xml:space="preserve">(i) release the Note Guarantee of any Guarantor except as provided in this Indenture, or make any changes to such Note Guarantee in a manner materially adverse to the Holders. </w:t>
      </w:r>
    </w:p>
    <w:p>
      <w:pPr>
        <w:pStyle w:val="TextBody"/>
        <w:bidi w:val="0"/>
        <w:spacing w:before="240" w:after="0"/>
        <w:jc w:val="left"/>
        <w:rPr>
          <w:rFonts w:ascii="Times New Roman" w:hAnsi="Times New Roman"/>
          <w:sz w:val="20"/>
        </w:rPr>
      </w:pPr>
      <w:r>
        <w:rPr>
          <w:rFonts w:ascii="Times New Roman" w:hAnsi="Times New Roman"/>
          <w:sz w:val="20"/>
        </w:rPr>
        <w:t xml:space="preserve">Upon the written request of the Company, and upon the filing with the Trustee of evidence of the consent of Holders as aforesaid and subject to Section 10.05, the Trustee shall join with the Company and the Guarantors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Holders do not need under this Section 10.02 to approve the particular form of any proposed supplemental indenture. It shall be sufficient if such Holders approve the substance thereof. After any supplemental indenture under this Section 10.02 becomes effective, the Company shall deliver to the Holders a notice briefly describing such supplemental indenture. However, the failure to give such notice to all the Holders, or any defect in the notice, will not impair or affect the validity of the supplemental indenture. </w:t>
      </w:r>
    </w:p>
    <w:p>
      <w:pPr>
        <w:pStyle w:val="TextBody"/>
        <w:bidi w:val="0"/>
        <w:spacing w:before="240" w:after="0"/>
        <w:jc w:val="left"/>
        <w:rPr>
          <w:rFonts w:ascii="Times New Roman" w:hAnsi="Times New Roman"/>
          <w:sz w:val="20"/>
        </w:rPr>
      </w:pPr>
      <w:r>
        <w:rPr>
          <w:rFonts w:ascii="Times New Roman" w:hAnsi="Times New Roman"/>
          <w:sz w:val="20"/>
        </w:rPr>
        <w:t>Section 10.03</w:t>
      </w:r>
      <w:r>
        <w:rPr>
          <w:rFonts w:ascii="Times New Roman" w:hAnsi="Times New Roman"/>
          <w:i/>
          <w:sz w:val="20"/>
        </w:rPr>
        <w:t>. Effect of Supplemental Indentures</w:t>
      </w:r>
      <w:r>
        <w:rPr>
          <w:rFonts w:ascii="Times New Roman" w:hAnsi="Times New Roman"/>
          <w:sz w:val="20"/>
        </w:rPr>
        <w:t xml:space="preserve">. Upon the execution of any supplemental indenture pursuant to the provisions of this Article 10, this Indenture shall be and be deemed to be modified and amended in accordance therewith and the respective rights, limitation of rights, obligations, duties, indemnities, privileges and immunities under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Indenture of the Trustee, the Company, the Guarantors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t>
      </w:r>
    </w:p>
    <w:p>
      <w:pPr>
        <w:pStyle w:val="TextBody"/>
        <w:bidi w:val="0"/>
        <w:spacing w:before="240" w:after="0"/>
        <w:jc w:val="left"/>
        <w:rPr>
          <w:rFonts w:ascii="Times New Roman" w:hAnsi="Times New Roman"/>
          <w:sz w:val="20"/>
        </w:rPr>
      </w:pPr>
      <w:r>
        <w:rPr>
          <w:rFonts w:ascii="Times New Roman" w:hAnsi="Times New Roman"/>
          <w:sz w:val="20"/>
        </w:rPr>
        <w:t>Section 10.04</w:t>
      </w:r>
      <w:r>
        <w:rPr>
          <w:rFonts w:ascii="Times New Roman" w:hAnsi="Times New Roman"/>
          <w:i/>
          <w:sz w:val="20"/>
        </w:rPr>
        <w:t>. Notation on Notes</w:t>
      </w:r>
      <w:r>
        <w:rPr>
          <w:rFonts w:ascii="Times New Roman" w:hAnsi="Times New Roman"/>
          <w:sz w:val="20"/>
        </w:rPr>
        <w:t xml:space="preserve">. Notes authenticated and delivered after the execution of any supplemental indenture pursuant to the provisions of this Article 10 may, at the Company’s expense, bear a notation in form approved by the Trustee as to any matter provided for in such supplemental indenture. If the Company or the Trustee shall so determine, new Notes so modified as to conform, in the opinion of the Trustee and the Company, to any modification of this Indenture contained in any such supplemental indenture may, at the Company’s expense, be prepared and executed by the Company, authenticated, upon receipt of a Company Order by the Trustee (or an authenticating agent duly appointed by the Trustee pursuant to Section 17.10) and delivered in exchange for the Notes then outstanding, upon surrender of such Notes then outstanding. </w:t>
      </w:r>
    </w:p>
    <w:p>
      <w:pPr>
        <w:pStyle w:val="TextBody"/>
        <w:bidi w:val="0"/>
        <w:spacing w:before="240" w:after="0"/>
        <w:jc w:val="left"/>
        <w:rPr>
          <w:rFonts w:ascii="Times New Roman" w:hAnsi="Times New Roman"/>
          <w:sz w:val="20"/>
        </w:rPr>
      </w:pPr>
      <w:r>
        <w:rPr>
          <w:rFonts w:ascii="Times New Roman" w:hAnsi="Times New Roman"/>
          <w:sz w:val="20"/>
        </w:rPr>
        <w:t>Section 10.05</w:t>
      </w:r>
      <w:r>
        <w:rPr>
          <w:rFonts w:ascii="Times New Roman" w:hAnsi="Times New Roman"/>
          <w:i/>
          <w:sz w:val="20"/>
        </w:rPr>
        <w:t>. Evidence of Compliance of Supplemental Indenture to Be Furnished to Trustee</w:t>
      </w:r>
      <w:r>
        <w:rPr>
          <w:rFonts w:ascii="Times New Roman" w:hAnsi="Times New Roman"/>
          <w:sz w:val="20"/>
        </w:rPr>
        <w:t xml:space="preserve">. In addition to the documents required by Section 17.05, the Trustee shall receive an Officer’s Certificate and an Opinion of Counsel as conclusive evidence that any supplemental indenture executed pursuant hereto complies with the requirements of this Article 10, that all conditions precedent to such supplemental indenture have been satisfied and such supplement and is permitted or authorized by this Indenture (such Opinion of Counsel to include a customary legal opinion stating that such supplemental indenture is the valid and binding obligation of the Company enforceable against the Company in accordance with its terms, subject to customary exceptions and qualifications). The Trustee shall have no responsibility for determining whether any amendment or supplemental indenture will or may have an adverse effect on any Holder. </w:t>
      </w:r>
    </w:p>
    <w:p>
      <w:pPr>
        <w:pStyle w:val="TextBody"/>
        <w:bidi w:val="0"/>
        <w:spacing w:before="240" w:after="0"/>
        <w:jc w:val="center"/>
        <w:rPr>
          <w:rFonts w:ascii="Times New Roman" w:hAnsi="Times New Roman"/>
          <w:sz w:val="20"/>
        </w:rPr>
      </w:pPr>
      <w:r>
        <w:rPr>
          <w:rFonts w:ascii="Times New Roman" w:hAnsi="Times New Roman"/>
          <w:sz w:val="20"/>
        </w:rPr>
        <w:t xml:space="preserve">ARTICLE 11 </w:t>
      </w:r>
    </w:p>
    <w:p>
      <w:pPr>
        <w:pStyle w:val="TextBody"/>
        <w:bidi w:val="0"/>
        <w:spacing w:before="0" w:after="0"/>
        <w:jc w:val="center"/>
        <w:rPr>
          <w:rFonts w:ascii="Times New Roman" w:hAnsi="Times New Roman"/>
          <w:sz w:val="20"/>
        </w:rPr>
      </w:pPr>
      <w:r>
        <w:rPr>
          <w:rFonts w:ascii="Times New Roman" w:hAnsi="Times New Roman"/>
          <w:sz w:val="20"/>
        </w:rPr>
        <w:t xml:space="preserve">CONSOLIDATION, MERGER, SALE, CONVEYANCE AND LEASE </w:t>
      </w:r>
    </w:p>
    <w:p>
      <w:pPr>
        <w:pStyle w:val="TextBody"/>
        <w:bidi w:val="0"/>
        <w:spacing w:before="240" w:after="0"/>
        <w:jc w:val="left"/>
        <w:rPr>
          <w:rFonts w:ascii="Times New Roman" w:hAnsi="Times New Roman"/>
          <w:sz w:val="20"/>
        </w:rPr>
      </w:pPr>
      <w:r>
        <w:rPr>
          <w:rFonts w:ascii="Times New Roman" w:hAnsi="Times New Roman"/>
          <w:sz w:val="20"/>
        </w:rPr>
        <w:t>Section 11.01</w:t>
      </w:r>
      <w:r>
        <w:rPr>
          <w:rFonts w:ascii="Times New Roman" w:hAnsi="Times New Roman"/>
          <w:i/>
          <w:sz w:val="20"/>
        </w:rPr>
        <w:t>. Company May Consolidate, Etc. on Certain Terms</w:t>
      </w:r>
      <w:r>
        <w:rPr>
          <w:rFonts w:ascii="Times New Roman" w:hAnsi="Times New Roman"/>
          <w:sz w:val="20"/>
        </w:rPr>
        <w:t>. Subject to the provisions of Section 11.03, the Company shall not consolidate with,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(each, a “</w:t>
      </w:r>
      <w:r>
        <w:rPr>
          <w:rFonts w:ascii="Times New Roman" w:hAnsi="Times New Roman"/>
          <w:b/>
          <w:sz w:val="20"/>
        </w:rPr>
        <w:t>Business Combination Event</w:t>
      </w:r>
      <w:r>
        <w:rPr>
          <w:rFonts w:ascii="Times New Roman" w:hAnsi="Times New Roman"/>
          <w:sz w:val="20"/>
        </w:rPr>
        <w:t xml:space="preserve">”) unless: </w:t>
      </w:r>
    </w:p>
    <w:p>
      <w:pPr>
        <w:pStyle w:val="TextBody"/>
        <w:bidi w:val="0"/>
        <w:spacing w:before="240" w:after="0"/>
        <w:jc w:val="left"/>
        <w:rPr>
          <w:rFonts w:ascii="Times New Roman" w:hAnsi="Times New Roman"/>
          <w:sz w:val="20"/>
        </w:rPr>
      </w:pPr>
      <w:r>
        <w:rPr>
          <w:rFonts w:ascii="Times New Roman" w:hAnsi="Times New Roman"/>
          <w:sz w:val="20"/>
        </w:rPr>
        <w:t>(a) the resulting, surviving or transferee Person (the “</w:t>
      </w:r>
      <w:r>
        <w:rPr>
          <w:rFonts w:ascii="Times New Roman" w:hAnsi="Times New Roman"/>
          <w:b/>
          <w:sz w:val="20"/>
        </w:rPr>
        <w:t>Successor Entity</w:t>
      </w:r>
      <w:r>
        <w:rPr>
          <w:rFonts w:ascii="Times New Roman" w:hAnsi="Times New Roman"/>
          <w:sz w:val="20"/>
        </w:rPr>
        <w:t xml:space="preserve">”), if not the Company, shall be a Qualified Successor Entity organized and existing under the laws of the United States of America, any state thereof or the District of Columbia, and the Successor Entity (if not the Company) shall expressly assume, by supplemental indenture all of the obligations of the Company under the Notes and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immediately after giving effect to such Business Combination Event, no Default or Event of Default shall have occurred and be continuing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(c) if the Company is not the resulting, surviving or transferee Person, the Company shall have delivered to the Trustee an Officer’s Certificate and an Opinion of Counsel stating that such transaction complies with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11.01,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properties and assets of the Company to another Person. </w:t>
      </w:r>
    </w:p>
    <w:p>
      <w:pPr>
        <w:pStyle w:val="TextBody"/>
        <w:bidi w:val="0"/>
        <w:spacing w:before="240" w:after="0"/>
        <w:jc w:val="left"/>
        <w:rPr>
          <w:rFonts w:ascii="Times New Roman" w:hAnsi="Times New Roman"/>
          <w:sz w:val="20"/>
        </w:rPr>
      </w:pPr>
      <w:r>
        <w:rPr>
          <w:rFonts w:ascii="Times New Roman" w:hAnsi="Times New Roman"/>
          <w:sz w:val="20"/>
        </w:rPr>
        <w:t>Section 11.02</w:t>
      </w:r>
      <w:r>
        <w:rPr>
          <w:rFonts w:ascii="Times New Roman" w:hAnsi="Times New Roman"/>
          <w:i/>
          <w:sz w:val="20"/>
        </w:rPr>
        <w:t>. Guarantors May Consolidate, Etc. on Certain Terms</w:t>
      </w:r>
      <w:r>
        <w:rPr>
          <w:rFonts w:ascii="Times New Roman" w:hAnsi="Times New Roman"/>
          <w:sz w:val="20"/>
        </w:rPr>
        <w:t xml:space="preserve">. Subject to the provisions of Section 11.03, each Guarantor (other than a Guarantor whose Note Guarantee has been released or is entitled to be release, in each case in accordance with the terms of the Note Guarantee and this Indenture) shall not consolidate with, merge with or into, or sell, lease or transfer in one transaction or a series of related transactions all or substantially all of the consolidated assets of such Guarantor and its Subsidiaries, taken as a whole, to any Person, unless: </w:t>
      </w:r>
    </w:p>
    <w:p>
      <w:pPr>
        <w:pStyle w:val="TextBody"/>
        <w:bidi w:val="0"/>
        <w:spacing w:before="240" w:after="0"/>
        <w:jc w:val="left"/>
        <w:rPr>
          <w:rFonts w:ascii="Times New Roman" w:hAnsi="Times New Roman"/>
          <w:sz w:val="20"/>
        </w:rPr>
      </w:pPr>
      <w:r>
        <w:rPr>
          <w:rFonts w:ascii="Times New Roman" w:hAnsi="Times New Roman"/>
          <w:sz w:val="20"/>
        </w:rPr>
        <w:t xml:space="preserve">(a) the Successor Entity, if not such Guarantor, is organized and existing under the laws of the United States of America, any State thereof or the District of Columbia and, in each case, such Successor Entity (if not such Guarantor) shall expressly assume, by supplemental indenture, executed and delivered to the Trustee, in form satisfactory to the Trustee, all of the obligations of such Guarantor under the Notes, the applicable Note Guarantee and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immediately after giving effect to such transaction, no Default or Event of Default shall have occurred and be continuing; and </w:t>
      </w:r>
    </w:p>
    <w:p>
      <w:pPr>
        <w:pStyle w:val="TextBody"/>
        <w:bidi w:val="0"/>
        <w:spacing w:before="240" w:after="0"/>
        <w:jc w:val="left"/>
        <w:rPr>
          <w:rFonts w:ascii="Times New Roman" w:hAnsi="Times New Roman"/>
          <w:sz w:val="20"/>
        </w:rPr>
      </w:pPr>
      <w:r>
        <w:rPr>
          <w:rFonts w:ascii="Times New Roman" w:hAnsi="Times New Roman"/>
          <w:sz w:val="20"/>
        </w:rPr>
        <w:t xml:space="preserve">(c) if the Guarantor is not the resulting, surviving or transferee Person, the Company shall have delivered to the Trustee an Officer’s Certificate and an Opinion of Counsel stating that such transaction complies with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provision of this Indenture to the contrary, this Section 11.02 shall not apply to any merger or consolidation of a Guarantor into, or any sale, lease or conveyance of assets by a Guarantor to, the Company or any other Guarantor or to any Guarantor upon any termination of the Note Guarantee of such Guarantor in accordance with this Indenture. </w:t>
      </w:r>
    </w:p>
    <w:p>
      <w:pPr>
        <w:pStyle w:val="TextBody"/>
        <w:bidi w:val="0"/>
        <w:spacing w:before="240" w:after="0"/>
        <w:jc w:val="left"/>
        <w:rPr>
          <w:rFonts w:ascii="Times New Roman" w:hAnsi="Times New Roman"/>
          <w:sz w:val="20"/>
        </w:rPr>
      </w:pPr>
      <w:r>
        <w:rPr>
          <w:rFonts w:ascii="Times New Roman" w:hAnsi="Times New Roman"/>
          <w:sz w:val="20"/>
        </w:rPr>
        <w:t>Section 11.03</w:t>
      </w:r>
      <w:r>
        <w:rPr>
          <w:rFonts w:ascii="Times New Roman" w:hAnsi="Times New Roman"/>
          <w:i/>
          <w:sz w:val="20"/>
        </w:rPr>
        <w:t>. Successor Entity to Be Substituted</w:t>
      </w:r>
      <w:r>
        <w:rPr>
          <w:rFonts w:ascii="Times New Roman" w:hAnsi="Times New Roman"/>
          <w:sz w:val="20"/>
        </w:rPr>
        <w:t xml:space="preserve">. In case of any Business Combination Event and upon the assumption by the Successor Entity, by supplemental indenture, executed and delivered to the Trustee and satisfactory in form to the Trustee, of the due and punctual payment of the principal of and interest on all of the Notes, the due and punctual delivery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as the case may be, of any consideration due upon conversion of the Notes and the due and punctual performance of all of the covenants and conditions of this Indenture to be performed by the Company and the Guarantors, such Successor Entity (if not the Company or Guarantor, as the case may be) shall succeed to and, except in the case of a lease of all or substantially all of the consolidated properties and assets of the Company and its Subsidiaries, taken as a whole, shall be substituted for the Company or Guarantor, as the case may be, with the same effect as if it had been named herein as the party of the first part, and may thereafter exercise every right and power of the Company or Guarantor, as the case may be, under this Indenture, and the Company shall be discharged from its obligations under the Notes and this Indenture except in the case of any such lease. Such Successor Entity thereupon may cause to be signed, and may issue either in its own name or in the name of the Company any or all of the Notes issuable hereunder which theretofore shall not have been signed by the Company and delivered to the Trustee; and, upon the order of such Successor Entity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Entity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Business Combination Event (except in the case of a lease), upon compliance with this Article 11 the Person named as the “Company” in the first paragraph of this Indenture (or any successor that shall thereafter have become such in the manner prescribed in this Article 11) or the applicable Guarantor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in the case of a Guarantor, the applicable Note Guarantee) and from its obligations under this Indenture and the Notes. In case of any Business Combination Event, such changes in phraseology and form (but not in substance) may be made in the Notes thereafter to be issued as may be appropriate. </w:t>
      </w:r>
    </w:p>
    <w:p>
      <w:pPr>
        <w:pStyle w:val="TextBody"/>
        <w:bidi w:val="0"/>
        <w:spacing w:before="240" w:after="0"/>
        <w:jc w:val="left"/>
        <w:rPr>
          <w:rFonts w:ascii="Times New Roman" w:hAnsi="Times New Roman"/>
          <w:sz w:val="20"/>
        </w:rPr>
      </w:pPr>
      <w:r>
        <w:rPr>
          <w:rFonts w:ascii="Times New Roman" w:hAnsi="Times New Roman"/>
          <w:sz w:val="20"/>
        </w:rPr>
        <w:t xml:space="preserve">Section 11.04. Officer’s Certificate and Opinion of Counsel to Be Given to Trustee. No such consolidation, merger, sale, conveyance, transfer or lease (other than any consolidation or merger where the Company is the surviving entity) shall be effective unless the Trustee shall receive an Officer’s Certificate and an Opinion of Counsel as conclusive evidence that any such consolidation, merger, sale, conveyance, transfer or lease and any such assumption and, if a supplemental indenture is required in connection with such transaction, such supplemental indenture, complies with the provisions of this Article 11 and that such supplemental indenture constitutes a legal, valid and binding obligation of the Company (or surviving entity if not the Company), enforceable against the Company (or surviving entity if not the Company)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12 </w:t>
      </w:r>
    </w:p>
    <w:p>
      <w:pPr>
        <w:pStyle w:val="TextBody"/>
        <w:bidi w:val="0"/>
        <w:spacing w:before="0" w:after="0"/>
        <w:jc w:val="center"/>
        <w:rPr>
          <w:rFonts w:ascii="Times New Roman" w:hAnsi="Times New Roman"/>
          <w:sz w:val="20"/>
        </w:rPr>
      </w:pPr>
      <w:r>
        <w:rPr>
          <w:rFonts w:ascii="Times New Roman" w:hAnsi="Times New Roman"/>
          <w:sz w:val="20"/>
        </w:rPr>
        <w:t xml:space="preserve">IMMUNITY OF INCORPORATORS, STOCKHOLDERS, OFFICERS AND DIRECTORS </w:t>
      </w:r>
    </w:p>
    <w:p>
      <w:pPr>
        <w:pStyle w:val="TextBody"/>
        <w:bidi w:val="0"/>
        <w:spacing w:before="240" w:after="0"/>
        <w:jc w:val="left"/>
        <w:rPr>
          <w:rFonts w:ascii="Times New Roman" w:hAnsi="Times New Roman"/>
          <w:sz w:val="20"/>
        </w:rPr>
      </w:pPr>
      <w:r>
        <w:rPr>
          <w:rFonts w:ascii="Times New Roman" w:hAnsi="Times New Roman"/>
          <w:sz w:val="20"/>
        </w:rPr>
        <w:t>Section 12.01</w:t>
      </w:r>
      <w:r>
        <w:rPr>
          <w:rFonts w:ascii="Times New Roman" w:hAnsi="Times New Roman"/>
          <w:i/>
          <w:sz w:val="20"/>
        </w:rPr>
        <w:t>. Indenture and Notes Solely Corporate Obligations</w:t>
      </w:r>
      <w:r>
        <w:rPr>
          <w:rFonts w:ascii="Times New Roman" w:hAnsi="Times New Roman"/>
          <w:sz w:val="20"/>
        </w:rPr>
        <w:t xml:space="preserve">. No recourse for the payment of the principal of or accrued and unpaid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entity, either directly or through the Company or any successor entity,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 </w:t>
      </w:r>
    </w:p>
    <w:p>
      <w:pPr>
        <w:pStyle w:val="TextBody"/>
        <w:bidi w:val="0"/>
        <w:spacing w:before="240" w:after="0"/>
        <w:jc w:val="center"/>
        <w:rPr>
          <w:rFonts w:ascii="Times New Roman" w:hAnsi="Times New Roman"/>
          <w:sz w:val="20"/>
        </w:rPr>
      </w:pPr>
      <w:r>
        <w:rPr>
          <w:rFonts w:ascii="Times New Roman" w:hAnsi="Times New Roman"/>
          <w:sz w:val="20"/>
        </w:rPr>
        <w:t xml:space="preserve">ARTICLE 13 </w:t>
      </w:r>
    </w:p>
    <w:p>
      <w:pPr>
        <w:pStyle w:val="TextBody"/>
        <w:bidi w:val="0"/>
        <w:spacing w:before="0" w:after="0"/>
        <w:jc w:val="center"/>
        <w:rPr>
          <w:rFonts w:ascii="Times New Roman" w:hAnsi="Times New Roman"/>
          <w:sz w:val="20"/>
        </w:rPr>
      </w:pPr>
      <w:r>
        <w:rPr>
          <w:rFonts w:ascii="Times New Roman" w:hAnsi="Times New Roman"/>
          <w:sz w:val="20"/>
        </w:rPr>
        <w:t xml:space="preserve">GUARANTEES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i/>
          <w:sz w:val="20"/>
        </w:rPr>
        <w:t>Guarantees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this Article 13, each of the Guarantors hereby fully unconditionally and irrevocably guarantees, jointly and severally, as primary obligor and not merely as surety, to each Holder and to the Trustee the full and punctual payment or delivery when due, whether at maturity, upon conversion, upon Fundamental Change repurchase, by acceleration, by redemption or otherwise, of the principal of and Additional Interest, if any, on the Notes, any amounts due upon conversion, and all other obligations of the Company under this Indenture and the Notes (the “</w:t>
      </w:r>
      <w:r>
        <w:rPr>
          <w:rFonts w:ascii="Times New Roman" w:hAnsi="Times New Roman"/>
          <w:b/>
          <w:sz w:val="20"/>
        </w:rPr>
        <w:t>Obligations</w:t>
      </w:r>
      <w:r>
        <w:rPr>
          <w:rFonts w:ascii="Times New Roman" w:hAnsi="Times New Roman"/>
          <w:sz w:val="20"/>
        </w:rPr>
        <w:t xml:space="preserve">”) to the Trustee and to the Holders. Each of the Guarantors further agrees (to the extent permitted by law) that the Obligations may be extended or renewed, in whole or in part, without notice or further assent from it, and that it shall remain bound under this Article 13 notwithstanding any extension or renewal of any Obligation. </w:t>
      </w:r>
    </w:p>
    <w:p>
      <w:pPr>
        <w:pStyle w:val="TextBody"/>
        <w:bidi w:val="0"/>
        <w:spacing w:before="240" w:after="0"/>
        <w:jc w:val="left"/>
        <w:rPr>
          <w:rFonts w:ascii="Times New Roman" w:hAnsi="Times New Roman"/>
          <w:sz w:val="20"/>
        </w:rPr>
      </w:pPr>
      <w:r>
        <w:rPr>
          <w:rFonts w:ascii="Times New Roman" w:hAnsi="Times New Roman"/>
          <w:sz w:val="20"/>
        </w:rPr>
        <w:t xml:space="preserve">(b) Each of the Guarantors waives presentation to, demand of payment from and protest to the Company of any of the Obligations and also waives notice of protest for nonpayment. Each of the Guarantors waives notice of any default under the Notes or the Obligations. The obligations of each of the Guarantors hereunder shall not be affected by (i) the failure of any Holder or the Trustee to assert any claim or demand or to enforce any right or remedy against the Company or any other person (including any Guarantor) under this Indenture, the Notes or any other agreement or otherwise, (ii) any extension or renewal of any thereof, (iii) any rescission, waiver, amendment or modification of any of the terms or provisions of this Indenture, the Notes or any other agreement, (iv) the release of any security held by any Holder or the Trustee for the Obligations or any of them, (v) the failure of any Holder of the Trustee to exercise any right or remedy against any other Guarantor of the Obligations or (vi) except as set forth in Section 13.06, any change in the ownership of such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of the Guarantors further agrees that its Note Guarantee herein constitutes a guarantee of payment, performance and compliance when due (and not a guarantee of collection) and waives any right to require that any resort be had by any Holder or the Trustee to any security held for payment of the Obligations. </w:t>
      </w:r>
    </w:p>
    <w:p>
      <w:pPr>
        <w:pStyle w:val="TextBody"/>
        <w:bidi w:val="0"/>
        <w:spacing w:before="240" w:after="0"/>
        <w:jc w:val="left"/>
        <w:rPr>
          <w:rFonts w:ascii="Times New Roman" w:hAnsi="Times New Roman"/>
          <w:sz w:val="20"/>
        </w:rPr>
      </w:pPr>
      <w:r>
        <w:rPr>
          <w:rFonts w:ascii="Times New Roman" w:hAnsi="Times New Roman"/>
          <w:sz w:val="20"/>
        </w:rPr>
        <w:t xml:space="preserve">(d) The obligations of each of the Guarantors hereunder shall not be subject to any reduction, limitation, impairment or termination for any reason (other than payment of the Obligations in full), including any claim of waiver, release, surrender, alteration or compromise, and shall not be subject to any defense of setoff, counterclaim, recoupment or termination whatsoever or by reason of the invalidity, illegality or unenforceability of the Obligations or otherwise. Without limiting the generality of the foregoing, the obligations of each of the Guarantors herein shall not be discharged or impaired or otherwise affected by the failure of any Holder or the Trustee to assert any claim or demand or to enforce any remedy under this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each of the Guarantors or would otherwise operate as a discharge of the Guarantors as a matter of law or equity. </w:t>
      </w:r>
    </w:p>
    <w:p>
      <w:pPr>
        <w:pStyle w:val="TextBody"/>
        <w:bidi w:val="0"/>
        <w:spacing w:before="240" w:after="0"/>
        <w:jc w:val="left"/>
        <w:rPr>
          <w:rFonts w:ascii="Times New Roman" w:hAnsi="Times New Roman"/>
          <w:sz w:val="20"/>
        </w:rPr>
      </w:pPr>
      <w:r>
        <w:rPr>
          <w:rFonts w:ascii="Times New Roman" w:hAnsi="Times New Roman"/>
          <w:sz w:val="20"/>
        </w:rPr>
        <w:t xml:space="preserve">(e) Each of the Guarantors further agrees that its Note Guarantee herein shall continue to be effective or be reinstated, as the case may be, if at any time payment or delivery, or any part thereof, of amounts due upon conversion or principal of or Additional Interest, if any, on any of the Obligations is rescinded or must otherwise be restored by any Holder or the Trustee upon the bankruptcy or reorganization of the Company or otherwise. </w:t>
      </w:r>
    </w:p>
    <w:p>
      <w:pPr>
        <w:pStyle w:val="TextBody"/>
        <w:bidi w:val="0"/>
        <w:spacing w:before="240" w:after="0"/>
        <w:jc w:val="left"/>
        <w:rPr>
          <w:rFonts w:ascii="Times New Roman" w:hAnsi="Times New Roman"/>
          <w:sz w:val="20"/>
        </w:rPr>
      </w:pPr>
      <w:r>
        <w:rPr>
          <w:rFonts w:ascii="Times New Roman" w:hAnsi="Times New Roman"/>
          <w:sz w:val="20"/>
        </w:rPr>
        <w:t xml:space="preserve">(f) In furtherance of the foregoing and not in limitation of any other right which any Holder or the Trustee has at law or in equity against any of the Guarantors by virtue hereof, upon the failure of the Company to pay or deliver any of the Obligations when and as the same shall become due, whether at maturity, upon conversion, upon redemption, upon Fundamental Change repurchase, by acceleration or otherwise, each of the Guarantors hereby promises to and shall, upon receipt of written demand by the Trustee, forthwith pay or delivery, or cause to be paid or delivered, as the case may be (i) in cash, to the Holders and the Trustee an amount equal to the sum of (x) the unpaid amount of such Obligations then due and owing and (y) accrued and unpaid Additional Interest, if any, on such Obligations then due and owing (but only to the extent not prohibited by law) and/or (ii) any shares of Common Stock then due and owing. </w:t>
      </w:r>
    </w:p>
    <w:p>
      <w:pPr>
        <w:pStyle w:val="TextBody"/>
        <w:bidi w:val="0"/>
        <w:spacing w:before="240" w:after="0"/>
        <w:jc w:val="left"/>
        <w:rPr>
          <w:rFonts w:ascii="Times New Roman" w:hAnsi="Times New Roman"/>
          <w:sz w:val="20"/>
        </w:rPr>
      </w:pPr>
      <w:r>
        <w:rPr>
          <w:rFonts w:ascii="Times New Roman" w:hAnsi="Times New Roman"/>
          <w:sz w:val="20"/>
        </w:rPr>
        <w:t xml:space="preserve">(g) Each of the Guarantors further agrees that, as between itself, on the one hand, and the Holders or the Trustee, on the other hand, (x) the maturity of the Obligations guaranteed hereby may be accelerated as provided in this Indenture for the purposes of its Note Guarantee herein, notwithstanding any stay, injunction or other prohibition preventing such acceleration in respect of the Obligations guaranteed hereby and (y) in the event of any such declaration of acceleration of such Obligations, such Obligations (whether or not due and payable) shall forthwith become due and payable by such Guarantor for the purposes of its Note Guarantee.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13.02. </w:t>
      </w:r>
      <w:r>
        <w:rPr>
          <w:rFonts w:ascii="Times New Roman" w:hAnsi="Times New Roman"/>
          <w:i/>
          <w:sz w:val="20"/>
        </w:rPr>
        <w:t>No Subrogation</w:t>
      </w:r>
      <w:r>
        <w:rPr>
          <w:rFonts w:ascii="Times New Roman" w:hAnsi="Times New Roman"/>
          <w:sz w:val="20"/>
        </w:rPr>
        <w:t xml:space="preserve">. Notwithstanding any payment or payments made by any Guarantor hereunder, no Guarantor shall be entitled to be subrogated to any of the rights of the Trustee or any Holder against the Company or any collateral security or guarantee or right of offset held by the Trustee or any Holder for the payment of the Obligations. The Guarantors will have the right to seek contribution from any non-paying Guarantor so long as the exercise of such right does not impair the rights of the Holders under the Note Guarantee. If any amount shall be paid to any of the Guarantors on account of such subrogation rights at any time when all of the Obligations shall not have been paid in full, such amount shall be held by such Guarantor in trust for the Trustee and the Holders, segregated from other funds of such Guarantor, and shall, forthwith upon receipt by such Guarantor, be turned over to the Trustee in the exact form received by such Guarantor (duly endorsed by such Guarantor to the Trustee, if required), to be applied against the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13.03. </w:t>
      </w:r>
      <w:r>
        <w:rPr>
          <w:rFonts w:ascii="Times New Roman" w:hAnsi="Times New Roman"/>
          <w:i/>
          <w:sz w:val="20"/>
        </w:rPr>
        <w:t>Consideration</w:t>
      </w:r>
      <w:r>
        <w:rPr>
          <w:rFonts w:ascii="Times New Roman" w:hAnsi="Times New Roman"/>
          <w:sz w:val="20"/>
        </w:rPr>
        <w:t xml:space="preserve">. Each of the Guarantors has received, or shall receive, direct or indirect benefits from the making of its Note Guarantee. </w:t>
      </w:r>
    </w:p>
    <w:p>
      <w:pPr>
        <w:pStyle w:val="TextBody"/>
        <w:bidi w:val="0"/>
        <w:spacing w:before="240" w:after="0"/>
        <w:jc w:val="left"/>
        <w:rPr>
          <w:rFonts w:ascii="Times New Roman" w:hAnsi="Times New Roman"/>
          <w:sz w:val="20"/>
        </w:rPr>
      </w:pPr>
      <w:r>
        <w:rPr>
          <w:rFonts w:ascii="Times New Roman" w:hAnsi="Times New Roman"/>
          <w:sz w:val="20"/>
        </w:rPr>
        <w:t xml:space="preserve">Section 13.04. </w:t>
      </w:r>
      <w:r>
        <w:rPr>
          <w:rFonts w:ascii="Times New Roman" w:hAnsi="Times New Roman"/>
          <w:i/>
          <w:sz w:val="20"/>
        </w:rPr>
        <w:t>No Waiver</w:t>
      </w:r>
      <w:r>
        <w:rPr>
          <w:rFonts w:ascii="Times New Roman" w:hAnsi="Times New Roman"/>
          <w:sz w:val="20"/>
        </w:rPr>
        <w:t xml:space="preserve">. Neither a failure nor a delay on the part of either the Trustee or the Holders in exercising any right, power or privilege under this Article 13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13 at law, in equity, by statute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13.05. </w:t>
      </w:r>
      <w:r>
        <w:rPr>
          <w:rFonts w:ascii="Times New Roman" w:hAnsi="Times New Roman"/>
          <w:i/>
          <w:sz w:val="20"/>
        </w:rPr>
        <w:t>Modification</w:t>
      </w:r>
      <w:r>
        <w:rPr>
          <w:rFonts w:ascii="Times New Roman" w:hAnsi="Times New Roman"/>
          <w:sz w:val="20"/>
        </w:rPr>
        <w:t xml:space="preserve">. No modification, amendment or waiver of any provision of this Article 13, nor the consent to any departure by any Guarantor therefrom, shall in any event be effective unless the same shall be in writing and signed by the Trustee, and then such waiver or consent shall be effective only in the specific instance and for the purpose for which given. No notice to or demand on any Guarantor in any case shall entitle such Guarantor to any other or further notice or demand in the same, similar or other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13.06. </w:t>
      </w:r>
      <w:r>
        <w:rPr>
          <w:rFonts w:ascii="Times New Roman" w:hAnsi="Times New Roman"/>
          <w:i/>
          <w:sz w:val="20"/>
        </w:rPr>
        <w:t>Limitation on Guarantor Liability</w:t>
      </w:r>
      <w:r>
        <w:rPr>
          <w:rFonts w:ascii="Times New Roman" w:hAnsi="Times New Roman"/>
          <w:sz w:val="20"/>
        </w:rPr>
        <w:t xml:space="preserve">. 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each Guarantor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13, result in the obligations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Guarantor under its Note Guarantee not constituting a fraudulent transfer or conveyance or a voidable preference, financial assistance or improper corporate benefit, or violating the corporate purpose of the relevant Guarantor or any applicable capital maintenance or similar laws or regulations affecting the rights of creditors generally under any applicable law or regulation. Each Guarantor that makes a payment under its Note Guarantee shall be entitled upon payment in full of all guaranteed obligations under this Indenture to a contribution from each other Guarantor in an amount equal to such other Guarantor’s pro rata portion of such payment based on the respective net assets of all the Guarantors at the time of such payment determined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Section 13.07. </w:t>
      </w:r>
      <w:r>
        <w:rPr>
          <w:rFonts w:ascii="Times New Roman" w:hAnsi="Times New Roman"/>
          <w:i/>
          <w:sz w:val="20"/>
        </w:rPr>
        <w:t>Execution and Delivery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evidence its Note Guarantee set forth in Section 13.01 hereof, each Guarantor hereby agrees this Indenture (or a supplemental indenture, as the case may be) shall be executed on behalf of such Guarantor by one of its Officers, managers, its trustee, its managing member or its general partner,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Each Guarantor hereby agrees that its Note Guarantee set forth in Section 13.01 shall remain in full force and effect notwithstanding the absence of the endorsement of any notation of such Note Guarantee on the Notes. </w:t>
      </w:r>
    </w:p>
    <w:p>
      <w:pPr>
        <w:pStyle w:val="TextBody"/>
        <w:bidi w:val="0"/>
        <w:spacing w:before="240" w:after="0"/>
        <w:jc w:val="left"/>
        <w:rPr>
          <w:rFonts w:ascii="Times New Roman" w:hAnsi="Times New Roman"/>
          <w:sz w:val="20"/>
        </w:rPr>
      </w:pPr>
      <w:r>
        <w:rPr>
          <w:rFonts w:ascii="Times New Roman" w:hAnsi="Times New Roman"/>
          <w:sz w:val="20"/>
        </w:rPr>
        <w:t xml:space="preserve">(c) If an Officer, manager, trustee, managing member or general partner of a Guarantor whose signature is on this Indenture (or a supplemental indenture, as the case may be) no longer holds that office at the time the Trustee authenticates the Notes, the Note Guarantee shall be valid nevertheless. </w:t>
      </w:r>
    </w:p>
    <w:p>
      <w:pPr>
        <w:pStyle w:val="TextBody"/>
        <w:bidi w:val="0"/>
        <w:spacing w:before="240" w:after="0"/>
        <w:jc w:val="left"/>
        <w:rPr>
          <w:rFonts w:ascii="Times New Roman" w:hAnsi="Times New Roman"/>
          <w:sz w:val="20"/>
        </w:rPr>
      </w:pPr>
      <w:r>
        <w:rPr>
          <w:rFonts w:ascii="Times New Roman" w:hAnsi="Times New Roman"/>
          <w:sz w:val="20"/>
        </w:rPr>
        <w:t xml:space="preserve">(d) The delivery of any Note by the Trustee, after the authentication thereof hereunder, shall constitute due delivery of the Note Guarantee set forth in this Indenture on behalf of the Guarantors. </w:t>
      </w:r>
    </w:p>
    <w:p>
      <w:pPr>
        <w:pStyle w:val="TextBody"/>
        <w:bidi w:val="0"/>
        <w:spacing w:before="240" w:after="0"/>
        <w:jc w:val="left"/>
        <w:rPr>
          <w:rFonts w:ascii="Times New Roman" w:hAnsi="Times New Roman"/>
          <w:sz w:val="20"/>
        </w:rPr>
      </w:pPr>
      <w:r>
        <w:rPr>
          <w:rFonts w:ascii="Times New Roman" w:hAnsi="Times New Roman"/>
          <w:sz w:val="20"/>
        </w:rPr>
        <w:t xml:space="preserve">Section 13.08. </w:t>
      </w:r>
      <w:r>
        <w:rPr>
          <w:rFonts w:ascii="Times New Roman" w:hAnsi="Times New Roman"/>
          <w:i/>
          <w:sz w:val="20"/>
        </w:rPr>
        <w:t>Release of Guarantors</w:t>
      </w:r>
      <w:r>
        <w:rPr>
          <w:rFonts w:ascii="Times New Roman" w:hAnsi="Times New Roman"/>
          <w:sz w:val="20"/>
        </w:rPr>
        <w:t xml:space="preserve">. A Guarantor will be automatically released from all of its obligations under the Notes, this Indenture and its Note Guarantee, and its Note Guarantee will automatically terminate: </w:t>
      </w:r>
    </w:p>
    <w:p>
      <w:pPr>
        <w:pStyle w:val="TextBody"/>
        <w:bidi w:val="0"/>
        <w:spacing w:before="240" w:after="0"/>
        <w:jc w:val="left"/>
        <w:rPr>
          <w:rFonts w:ascii="Times New Roman" w:hAnsi="Times New Roman"/>
          <w:sz w:val="20"/>
        </w:rPr>
      </w:pPr>
      <w:r>
        <w:rPr>
          <w:rFonts w:ascii="Times New Roman" w:hAnsi="Times New Roman"/>
          <w:sz w:val="20"/>
        </w:rPr>
        <w:t xml:space="preserve">(a) upon satisfaction and discharge of this Indenture pursuant to Section 3.01; </w:t>
      </w:r>
    </w:p>
    <w:p>
      <w:pPr>
        <w:pStyle w:val="TextBody"/>
        <w:bidi w:val="0"/>
        <w:spacing w:before="240" w:after="0"/>
        <w:jc w:val="left"/>
        <w:rPr>
          <w:rFonts w:ascii="Times New Roman" w:hAnsi="Times New Roman"/>
          <w:sz w:val="20"/>
        </w:rPr>
      </w:pPr>
      <w:r>
        <w:rPr>
          <w:rFonts w:ascii="Times New Roman" w:hAnsi="Times New Roman"/>
          <w:sz w:val="20"/>
        </w:rPr>
        <w:t xml:space="preserve">(b) upon the consummation of any sale or other disposition of any portion or all of the Capital Stock of such Guarantor (including by way of merger or consolidation) or other transaction such that after giving effect to such sale, disposition or other transaction such Guarantor is no longer a Domestic Subsidiary of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(c) entry into a supplemental indenture pursuant to Section 10.02(i) to confirm and evidence the release, termination, discharge or retaking of any Note Guarantee with respect to the Notes when such release, termination, discharge or re-taking is provided for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request and at the expense of the Company and upon receipt of an Officer’s Certificate, the Trustee shall evidence such release by a supplemental indenture or other instrument which may be executed by the Trustee without the consent of any Holder. The Trustee shall have no liability to any Person for any release, supplemental indenture or instrument to evidence the release of a Guarantor delivered in reliance on such Officer’s Certificate. </w:t>
      </w:r>
    </w:p>
    <w:p>
      <w:pPr>
        <w:pStyle w:val="TextBody"/>
        <w:bidi w:val="0"/>
        <w:spacing w:before="240" w:after="0"/>
        <w:jc w:val="center"/>
        <w:rPr>
          <w:rFonts w:ascii="Times New Roman" w:hAnsi="Times New Roman"/>
          <w:sz w:val="20"/>
        </w:rPr>
      </w:pPr>
      <w:r>
        <w:rPr>
          <w:rFonts w:ascii="Times New Roman" w:hAnsi="Times New Roman"/>
          <w:sz w:val="20"/>
        </w:rPr>
        <w:t xml:space="preserve">ARTICLE 14 </w:t>
      </w:r>
    </w:p>
    <w:p>
      <w:pPr>
        <w:pStyle w:val="TextBody"/>
        <w:bidi w:val="0"/>
        <w:spacing w:before="0" w:after="0"/>
        <w:jc w:val="center"/>
        <w:rPr>
          <w:rFonts w:ascii="Times New Roman" w:hAnsi="Times New Roman"/>
          <w:sz w:val="20"/>
        </w:rPr>
      </w:pPr>
      <w:r>
        <w:rPr>
          <w:rFonts w:ascii="Times New Roman" w:hAnsi="Times New Roman"/>
          <w:sz w:val="20"/>
        </w:rPr>
        <w:t xml:space="preserve">CONVERSION OF NOTES </w:t>
      </w:r>
    </w:p>
    <w:p>
      <w:pPr>
        <w:pStyle w:val="TextBody"/>
        <w:bidi w:val="0"/>
        <w:spacing w:before="240" w:after="0"/>
        <w:jc w:val="left"/>
        <w:rPr>
          <w:rFonts w:ascii="Times New Roman" w:hAnsi="Times New Roman"/>
          <w:sz w:val="20"/>
        </w:rPr>
      </w:pPr>
      <w:r>
        <w:rPr>
          <w:rFonts w:ascii="Times New Roman" w:hAnsi="Times New Roman"/>
          <w:sz w:val="20"/>
        </w:rPr>
        <w:t>Section 14.01</w:t>
      </w:r>
      <w:r>
        <w:rPr>
          <w:rFonts w:ascii="Times New Roman" w:hAnsi="Times New Roman"/>
          <w:i/>
          <w:sz w:val="20"/>
        </w:rPr>
        <w:t>. Conversion Privilege.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and upon compliance with the provisions of this Article 14, each Holder of a Note shall have the right, at such Holder’s option, to convert all or any portion (if the portion to be converted is $1,000 principal amount or an integral multiple thereof) of such Note at any time prior to the close of business on the Scheduled Trading Day immediately preceding the Maturity Date at an initial conversion rate of 63.0348 shares of Common Stock (subject to adjustment as provided in this Article 14, the “</w:t>
      </w:r>
      <w:r>
        <w:rPr>
          <w:rFonts w:ascii="Times New Roman" w:hAnsi="Times New Roman"/>
          <w:b/>
          <w:sz w:val="20"/>
        </w:rPr>
        <w:t>Conversion Rate</w:t>
      </w:r>
      <w:r>
        <w:rPr>
          <w:rFonts w:ascii="Times New Roman" w:hAnsi="Times New Roman"/>
          <w:sz w:val="20"/>
        </w:rPr>
        <w:t>”) per $1,000 principal amount of Notes (subject to, and in accordance with, the settlement provisions of Section 14.02, the “</w:t>
      </w:r>
      <w:r>
        <w:rPr>
          <w:rFonts w:ascii="Times New Roman" w:hAnsi="Times New Roman"/>
          <w:b/>
          <w:sz w:val="20"/>
        </w:rPr>
        <w:t>Conversion Obligation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14.02</w:t>
      </w:r>
      <w:r>
        <w:rPr>
          <w:rFonts w:ascii="Times New Roman" w:hAnsi="Times New Roman"/>
          <w:i/>
          <w:sz w:val="20"/>
        </w:rPr>
        <w:t>. Conversion Procedure; Settlement Upon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this Section 14.02, Section 14.03(b) and Section 14.07(a), upon conversion of any Note, the Company shall satisfy its Conversion Obligation by paying or delivering, as the case may be, to the converting Holder, in respect of each $1,000 principal amount of Notes being converted, cash (“</w:t>
      </w:r>
      <w:r>
        <w:rPr>
          <w:rFonts w:ascii="Times New Roman" w:hAnsi="Times New Roman"/>
          <w:b/>
          <w:sz w:val="20"/>
        </w:rPr>
        <w:t>Cash Settlement</w:t>
      </w:r>
      <w:r>
        <w:rPr>
          <w:rFonts w:ascii="Times New Roman" w:hAnsi="Times New Roman"/>
          <w:sz w:val="20"/>
        </w:rPr>
        <w:t>”), shares of Common Stock, together with cash, if applicable, in lieu of delivering any fractional share of Common Stock in accordance with Section 14.02(j) (“</w:t>
      </w:r>
      <w:r>
        <w:rPr>
          <w:rFonts w:ascii="Times New Roman" w:hAnsi="Times New Roman"/>
          <w:b/>
          <w:sz w:val="20"/>
        </w:rPr>
        <w:t>Physical Settlement</w:t>
      </w:r>
      <w:r>
        <w:rPr>
          <w:rFonts w:ascii="Times New Roman" w:hAnsi="Times New Roman"/>
          <w:sz w:val="20"/>
        </w:rPr>
        <w:t>”) or a combination of cash and shares of Common Stock, together with cash, if applicable, in lieu of delivering any fractional share of Common Stock in accordance with Section 14.02(j) (“</w:t>
      </w:r>
      <w:r>
        <w:rPr>
          <w:rFonts w:ascii="Times New Roman" w:hAnsi="Times New Roman"/>
          <w:b/>
          <w:sz w:val="20"/>
        </w:rPr>
        <w:t>Combination Settlement</w:t>
      </w:r>
      <w:r>
        <w:rPr>
          <w:rFonts w:ascii="Times New Roman" w:hAnsi="Times New Roman"/>
          <w:sz w:val="20"/>
        </w:rPr>
        <w:t xml:space="preserve">”), at its election, as set forth in this Section 14.02. </w:t>
      </w:r>
    </w:p>
    <w:p>
      <w:pPr>
        <w:pStyle w:val="TextBody"/>
        <w:bidi w:val="0"/>
        <w:spacing w:before="120" w:after="0"/>
        <w:jc w:val="left"/>
        <w:rPr>
          <w:rFonts w:ascii="Times New Roman" w:hAnsi="Times New Roman"/>
          <w:sz w:val="20"/>
        </w:rPr>
      </w:pPr>
      <w:r>
        <w:rPr>
          <w:rFonts w:ascii="Times New Roman" w:hAnsi="Times New Roman"/>
          <w:sz w:val="20"/>
        </w:rPr>
        <w:t xml:space="preserve">(i) All conversions of Called Notes for which the relevant Conversion Date occurs during the related Redemption Period, and all conversions for which the relevant Conversion Date occurs on or after March 15, 2032, shall be settled using the same Settlement Method. </w:t>
      </w:r>
    </w:p>
    <w:p>
      <w:pPr>
        <w:pStyle w:val="TextBody"/>
        <w:bidi w:val="0"/>
        <w:spacing w:before="120" w:after="0"/>
        <w:jc w:val="left"/>
        <w:rPr>
          <w:rFonts w:ascii="Times New Roman" w:hAnsi="Times New Roman"/>
          <w:sz w:val="20"/>
        </w:rPr>
      </w:pPr>
      <w:r>
        <w:rPr>
          <w:rFonts w:ascii="Times New Roman" w:hAnsi="Times New Roman"/>
          <w:sz w:val="20"/>
        </w:rPr>
        <w:t xml:space="preserve">(ii) Except for any conversions of Called Notes for which the relevant Conversion Date occurs during the related Redemption Period, and any conversions for which the relevant Conversion Date occurs on or after August 15, 2032, and except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extent the Company has previously made an irrevocable election with respect to all subsequent conversions of Notes pursuant to the second paragraph of Section 14.02(a)(iii), the Company shall use the same Settlement Method for all conversions with the same Conversion Date, but the Company shall not have any obligation to use the same Settlement Method with respect to conversions with different Conversion Dates. </w:t>
      </w:r>
    </w:p>
    <w:p>
      <w:pPr>
        <w:pStyle w:val="TextBody"/>
        <w:bidi w:val="0"/>
        <w:spacing w:before="120" w:after="0"/>
        <w:jc w:val="left"/>
        <w:rPr>
          <w:rFonts w:ascii="Times New Roman" w:hAnsi="Times New Roman"/>
          <w:sz w:val="20"/>
        </w:rPr>
      </w:pPr>
      <w:r>
        <w:rPr>
          <w:rFonts w:ascii="Times New Roman" w:hAnsi="Times New Roman"/>
          <w:sz w:val="20"/>
        </w:rPr>
        <w:t>(iii) If, in respect of any Conversion Date (or any conversions of Called Notes for which the relevant Conversion Date occurs during the related Redemption Period, or any conversions for which the relevant Conversion Date occurs on or after August 15, 2032), the Company elects to deliver a notice (the “</w:t>
      </w:r>
      <w:r>
        <w:rPr>
          <w:rFonts w:ascii="Times New Roman" w:hAnsi="Times New Roman"/>
          <w:b/>
          <w:sz w:val="20"/>
        </w:rPr>
        <w:t>Settlement Notice</w:t>
      </w:r>
      <w:r>
        <w:rPr>
          <w:rFonts w:ascii="Times New Roman" w:hAnsi="Times New Roman"/>
          <w:sz w:val="20"/>
        </w:rPr>
        <w:t xml:space="preserve">”) of the relevant Settlement Method in respect of such Conversion Date (or such period, as the case may be), the Company shall deliver such Settlement Notice to converting Holders, the Trustee and the Conversion Agent (if other than the Trustee) no later than the close of business on the Trading Day immediately following the relevant Conversion Date (or, in the case of any conversions (A) of Called Notes for which the relevant Conversion Date occurs during the related Redemption Period, in the related Notice of Redemption or (B) of Notes for which the relevant Conversion Date occurs on or after August 15, 2032, no later than August 15, 2032, in a notice as described in such Section, or for which the Company has previously made an irrevocable election with respect to all subsequent conversions of the Notes pursuant to the second paragraph of this Section 14.02(a)(iii)). If the Company does not elect a Settlement Method prior to the deadline set forth in the immediately preceding sentence, the Company shall no longer have the right to elect a Settlement Method with respect to any conversion on such Conversion Date or during such period, and the Company shall be deemed to have elected the Default Settlement Method with respect to such conversion. Such Settlement Notice shall specify the relevant Settlement Method and in the case of an election of Combination Settlement, the relevant Settlement Notice shall indicate the Specified Dollar Amount per $1,000 principal amount of Notes. If the Company delivers a Settlement Notice electing Combination Settlement (or is deemed to have elected Combination Settlement) in respect of its Conversion Obligation but does not indicate a Specified Dollar Amount per $1,000 principal amount of Notes to be converted in such Settlement Notice, the Specified Dollar Amount per $1,000 principal amount of Notes shall be deemed to be $1,000. For the avoidance of doubt, the Company’s failure to timely elect a Settlement Method or specify as applicable a Specified Dollar Amount shall not constitute a Default or Event of Default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By notice to Holders, the Trustee and the Conversion Agent (if other than the Trustee), the Company may, from time to time, change the Default Settlement Method prior to March 15, 2032. By notice to all Holders, the Company may, prior to March 15, 2032, at its option, irrevocably elect to satisfy its Conversion Obligation with respect to the Notes through any Settlement Method that the Company is then permitted to elect, including Combination Settlement with a Specified Dollar Amount per $1,000 principal amount of Notes of $1,000 or with an ability to continue to set the Specified Dollar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 per $1,000 principal amount of Notes at or above a specific amount set forth in such election notice. If the Company changes the Default Settlement Method or the Company irrevocably elects to fix the Settlement Method, in either case, to Combination Settlement with an ability to continue to set the Specified Dollar Amount per $1,000 principal amount of Notes at or above a specific amount, the Company will, after the date of such change or election, as the case may be, inform Holders converting their Notes, the Trustee and the Conversion Agent (if other than the Trustee) of such Specified Dollar Amount no later than the relevant deadline for election of a specified Settlement Method as set forth in the immediately preceding paragraph, or, if the Company does not timely notify Holders, such Specified Dollar Amount will be the specific amount set forth in the election notice or, if no specific amount was set forth in the election notice, such Specified Dollar Amount will be $1,000 per $1,000 principal amount of Notes. A change in the Default Settlement Method or an irrevocable election shall apply for all conversions of Notes with Conversion Dates occurring subsequent to delivery of such notice;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change or election will affect any Settlement Method theretofore elected (or deemed to be elected) with respect to any Note. For the avoidance of doubt, such an irrevocable election, if made by the Company, will be effective without the need to amend this Indenture or the Notes, including pursuant to Section 10.01(m). However, the Company may nonetheless choose to execute such an amendment at its option. If the Company changes the Default Settlement Method or if the Company irrevocably fixes the Settlement Method pursuant to this paragraph, then, concurrently with providing notice to Holders, the Trustee and the Conversion Agent (if other than the Trustee) of such change or election, the Company shall either post the Default Settlement Method or fixed Settlement Method, as the case may be, on its website or disclose the same in a current report on Form 8-K (or any successor form) that is filed with the Commission. </w:t>
      </w:r>
    </w:p>
    <w:p>
      <w:pPr>
        <w:pStyle w:val="TextBody"/>
        <w:bidi w:val="0"/>
        <w:spacing w:before="120" w:after="0"/>
        <w:jc w:val="left"/>
        <w:rPr>
          <w:rFonts w:ascii="Times New Roman" w:hAnsi="Times New Roman"/>
          <w:sz w:val="20"/>
        </w:rPr>
      </w:pPr>
      <w:r>
        <w:rPr>
          <w:rFonts w:ascii="Times New Roman" w:hAnsi="Times New Roman"/>
          <w:sz w:val="20"/>
        </w:rPr>
        <w:t>(iv) The cash, shares of Common Stock or combination of cash and shares of Common Stock in respect of any conversion of Notes (the “</w:t>
      </w:r>
      <w:r>
        <w:rPr>
          <w:rFonts w:ascii="Times New Roman" w:hAnsi="Times New Roman"/>
          <w:b/>
          <w:sz w:val="20"/>
        </w:rPr>
        <w:t>Settlement Amount</w:t>
      </w:r>
      <w:r>
        <w:rPr>
          <w:rFonts w:ascii="Times New Roman" w:hAnsi="Times New Roman"/>
          <w:sz w:val="20"/>
        </w:rPr>
        <w:t xml:space="preserve">”) shall be computed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if the Company elects (or is deemed to have elected) to satisfy its Conversion Obligation in respect of such conversion by Physical Settlement, the Company shall deliver to the converting Holder in respect of each $1,000 principal amount of Notes being converted a number of shares of Common Stock equal to the Conversion Rate in effect on the Conversion Date; </w:t>
      </w:r>
    </w:p>
    <w:p>
      <w:pPr>
        <w:pStyle w:val="TextBody"/>
        <w:bidi w:val="0"/>
        <w:spacing w:before="120" w:after="0"/>
        <w:jc w:val="left"/>
        <w:rPr>
          <w:rFonts w:ascii="Times New Roman" w:hAnsi="Times New Roman"/>
          <w:sz w:val="20"/>
        </w:rPr>
      </w:pPr>
      <w:r>
        <w:rPr>
          <w:rFonts w:ascii="Times New Roman" w:hAnsi="Times New Roman"/>
          <w:sz w:val="20"/>
        </w:rPr>
        <w:t xml:space="preserve">(B) if the Company elects (or is deemed to have elected) to satisfy its Conversion Obligation in respect of such conversion by Cash Settlement, the Company shall pay to the converting Holder in respect of each $1,000 principal amount of Notes being converted cash in an amount equal to the sum of the Daily Conversion Values for each of the 40 consecutive Trading Days during the related Observation Period;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the Company elects (or is deemed to have elected) to satisfy its Conversion Obligation in respect of such conversion by Combination Settlement, the Company shall pay or deliver, as the case may be, to the converting Holder in respect of each $1,000 principal amount of Notes being converted, a Settlement Amount equal to the sum of the Daily Settlement Amounts for each of the 40 consecutive Trading Days during the related Observation Period. </w:t>
      </w:r>
    </w:p>
    <w:p>
      <w:pPr>
        <w:pStyle w:val="TextBody"/>
        <w:bidi w:val="0"/>
        <w:spacing w:before="120" w:after="0"/>
        <w:jc w:val="left"/>
        <w:rPr>
          <w:rFonts w:ascii="Times New Roman" w:hAnsi="Times New Roman"/>
          <w:sz w:val="20"/>
        </w:rPr>
      </w:pPr>
      <w:r>
        <w:rPr>
          <w:rFonts w:ascii="Times New Roman" w:hAnsi="Times New Roman"/>
          <w:sz w:val="20"/>
        </w:rPr>
        <w:t xml:space="preserve">(v) The Daily Settlement Amounts (if applicable) and the Daily Conversion Values (if applicable) shall be determined by the Company promptly following the last day of the Observation Period. Promptly after such determination of the Daily Settlement Amounts (if applicable), the Daily Conversion Values (if applicable) and the amount of cash payable in lieu of delivering any fractional share of Common Stock, the Company shall notify the Trustee and the Conversion Agent (if other than the Trustee) of the Daily Settlement Amounts (if applicable), the Daily Conversion Values (if applicable) and the amount of cash payable in lieu of delivering any fractional shares of Common Stock. The Trustee and the Conversion Agent (if other than the Trustee) shall have no responsibility for any such determination. </w:t>
      </w:r>
    </w:p>
    <w:p>
      <w:pPr>
        <w:pStyle w:val="TextBody"/>
        <w:bidi w:val="0"/>
        <w:spacing w:before="240" w:after="0"/>
        <w:jc w:val="left"/>
        <w:rPr>
          <w:rFonts w:ascii="Times New Roman" w:hAnsi="Times New Roman"/>
          <w:sz w:val="20"/>
        </w:rPr>
      </w:pPr>
      <w:r>
        <w:rPr>
          <w:rFonts w:ascii="Times New Roman" w:hAnsi="Times New Roman"/>
          <w:sz w:val="20"/>
        </w:rPr>
        <w:t>(b) Subject to Section 14.02(e), before any Holder of a Note shall be entitled to convert a Note as set forth above, such Holder shall (i) in the case of a Global Note, comply with the applicable procedures of the Depositary in effect at that time and, if required, pay funds equal to any interest payable on the next Interest Payment Date to which such Holder is not entitled as set forth in Section 14.02(h) and (ii) in the case of a Physical Note (1) complete, manually sign and deliver an irrevocable notice to the Conversion Agent as set forth in the Form of Notice of Conversion (or a facsimile, PDF or other electronic transmission thereof) (a notice pursuant to the applicable procedures of the Depositary or a notice as set forth in the Form of Notice of Conversion, a “</w:t>
      </w:r>
      <w:r>
        <w:rPr>
          <w:rFonts w:ascii="Times New Roman" w:hAnsi="Times New Roman"/>
          <w:b/>
          <w:sz w:val="20"/>
        </w:rPr>
        <w:t>Notice of Conversion</w:t>
      </w:r>
      <w:r>
        <w:rPr>
          <w:rFonts w:ascii="Times New Roman" w:hAnsi="Times New Roman"/>
          <w:sz w:val="20"/>
        </w:rPr>
        <w:t xml:space="preserve">”)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any interest payable on the next Interest Payment Date to which such Holder is not entitled as set forth in Section 14.02(h). The Trustee (and if different, the Conversion Agent) shall notify the Company of any conversion pursuant to this Article 14 on the Conversion Date for such conversion. No Notes may be surrendered for conversion by a Holder thereof if such Holder has also delivered a Fundamental Change Repurchase Notice to the Company in respect of such Notes and has not validly withdrawn such Fundamental Change Repurchase Notice in accordance with Section 15.03. </w:t>
      </w:r>
    </w:p>
    <w:p>
      <w:pPr>
        <w:pStyle w:val="TextBody"/>
        <w:bidi w:val="0"/>
        <w:spacing w:before="240" w:after="0"/>
        <w:jc w:val="left"/>
        <w:rPr>
          <w:rFonts w:ascii="Times New Roman" w:hAnsi="Times New Roman"/>
          <w:sz w:val="20"/>
        </w:rPr>
      </w:pPr>
      <w:r>
        <w:rPr>
          <w:rFonts w:ascii="Times New Roman" w:hAnsi="Times New Roman"/>
          <w:sz w:val="20"/>
        </w:rPr>
        <w:t xml:space="preserve">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A Note shall be deemed to have been converted immediately prior to the close of business on the date (the “</w:t>
      </w:r>
      <w:r>
        <w:rPr>
          <w:rFonts w:ascii="Times New Roman" w:hAnsi="Times New Roman"/>
          <w:b/>
          <w:sz w:val="20"/>
        </w:rPr>
        <w:t>Conversion Date</w:t>
      </w:r>
      <w:r>
        <w:rPr>
          <w:rFonts w:ascii="Times New Roman" w:hAnsi="Times New Roman"/>
          <w:sz w:val="20"/>
        </w:rPr>
        <w:t>”) that the Holder has complied with the requirements set forth in Section 14.02(b). Except as set forth in Section 14.03(b) and Section 14.07(a), the Company shall pay or deliver, as the case may be, the consideration due in respect of the Conversion Obligation on the second Business Day immediately following the relevant Conversion Date, if the Company elects Physical Settlement (</w:t>
      </w:r>
      <w:r>
        <w:rPr>
          <w:rFonts w:ascii="Times New Roman" w:hAnsi="Times New Roman"/>
          <w:i/>
          <w:sz w:val="20"/>
        </w:rPr>
        <w:t>provided</w:t>
      </w:r>
      <w:r>
        <w:rPr>
          <w:rFonts w:ascii="Times New Roman" w:hAnsi="Times New Roman"/>
          <w:sz w:val="20"/>
        </w:rPr>
        <w:t xml:space="preserve"> that, with respect to any Conversion Date following June 1, 2032 where Physical Settlement applies to the related conversion, the Company shall settle any such conversion on the Maturity Date), or on the second Business Day immediately following the last Trading Day of the Observation Period, in the case of any other Settlement Method. If any shares of Common Stock are due to a converting Holder, the Company shall issue or cause to be issued, and deliver (if applicable) to such Holder, or such Holder’s nominee or nominees, the full number of shares of Common Stock to which such Holder shall be entitled, in book-entry format through the Depositary, in satisfaction of the Company’s Conversion Obligation. </w:t>
      </w:r>
    </w:p>
    <w:p>
      <w:pPr>
        <w:pStyle w:val="TextBody"/>
        <w:bidi w:val="0"/>
        <w:spacing w:before="240" w:after="0"/>
        <w:jc w:val="left"/>
        <w:rPr>
          <w:rFonts w:ascii="Times New Roman" w:hAnsi="Times New Roman"/>
          <w:sz w:val="20"/>
        </w:rPr>
      </w:pPr>
      <w:r>
        <w:rPr>
          <w:rFonts w:ascii="Times New Roman" w:hAnsi="Times New Roman"/>
          <w:sz w:val="20"/>
        </w:rPr>
        <w:t xml:space="preserve">(d) 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(e) If a Holder submits a Note for conversion, the Company shall pay any documentary, stamp or similar issue or transfer tax due on the issue of any shares of Common Stock upon conversion, except to the extent such tax is due because the Holder requests such shares to be issued in a name other than the Holder’s name, in which case the Holder shall pay such tax. The Conversion Agent may refuse to deliver the certificates representing the shares of Common Stock being issued in a name other than the Holder’s name until the Trustee receives a sum sufficient to pay any tax that is due by such Holder in accordance with the immediately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(f) Except as provided in Section 14.04, no adjustment shall be made for dividends on any shares of Common Stock issued upon the conversion of any Note as provided in this Article 14. </w:t>
      </w:r>
    </w:p>
    <w:p>
      <w:pPr>
        <w:pStyle w:val="TextBody"/>
        <w:bidi w:val="0"/>
        <w:spacing w:before="240" w:after="0"/>
        <w:jc w:val="left"/>
        <w:rPr>
          <w:rFonts w:ascii="Times New Roman" w:hAnsi="Times New Roman"/>
          <w:sz w:val="20"/>
        </w:rPr>
      </w:pPr>
      <w:r>
        <w:rPr>
          <w:rFonts w:ascii="Times New Roman" w:hAnsi="Times New Roman"/>
          <w:sz w:val="20"/>
        </w:rPr>
        <w:t xml:space="preserve">(g) 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Upon conversion, a Holder shall not receive any separate cash payment for accrued and unpaid interest except as set forth below. The Company’s settlement of the full Conversion Obligation shall be deemed to satisfy in full its obligation to pay the principal amount of the Note and accrued and unpaid interest to, but not including, the relevant Conversion Date. As a result, accrued and unpaid interest to, but not including, the relevant Conversion Date shall be deemed to be paid in full rather than cancelled, extinguished or forfeited. Upon a conversion of Notes into a combination of cash and shares of Common Stock, accrued and unpaid interest will be deemed to be paid first out of the cash paid upon such conversion. Notwithstanding the foregoing, if Notes are converted after the close of business on a Regular Record Date for the payment of interest, and prior to the open of business on the corresponding Interest Payment Date, Holders of such Notes as of the close of business on such Regular Record Date will receive the full amount of any interest payable on such Notes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any interest payable on the Notes so converted; </w:t>
      </w:r>
      <w:r>
        <w:rPr>
          <w:rFonts w:ascii="Times New Roman" w:hAnsi="Times New Roman"/>
          <w:i/>
          <w:sz w:val="20"/>
        </w:rPr>
        <w:t>provided</w:t>
      </w:r>
      <w:r>
        <w:rPr>
          <w:rFonts w:ascii="Times New Roman" w:hAnsi="Times New Roman"/>
          <w:sz w:val="20"/>
        </w:rPr>
        <w:t xml:space="preserve"> that no such payment shall be required (1) for conversions following the Regular Record Date immediately preceding the Maturity Date; (2) for conversions of Called Notes during a Redemption Period if the Company has specified a Redemption Date that is after a Regular Record Date and on or prior to the Business Day immediately following the corresponding Interest Payment Date; (3) for conversions of Notes if the Company has specified a Fundamental Change Repurchase Date that is after a Regular Record Date and on or prior to the Business Day immediately following the corresponding Interest Payment Date; or (4) to the extent of any overdue interest, if any overdue interest exists at the time of conversion with respect to such Note. Therefore, for the avoidance of doubt, all Holders of record on the Regular Record Date immediately preceding the Maturity Date shall receive the full interest payment due on the Maturity Date in cash regardless of whether their Notes have been converted following such Regular Record Date. </w:t>
      </w:r>
    </w:p>
    <w:p>
      <w:pPr>
        <w:pStyle w:val="TextBody"/>
        <w:bidi w:val="0"/>
        <w:spacing w:before="240" w:after="0"/>
        <w:jc w:val="left"/>
        <w:rPr>
          <w:rFonts w:ascii="Times New Roman" w:hAnsi="Times New Roman"/>
          <w:sz w:val="20"/>
        </w:rPr>
      </w:pPr>
      <w:r>
        <w:rPr>
          <w:rFonts w:ascii="Times New Roman" w:hAnsi="Times New Roman"/>
          <w:sz w:val="20"/>
        </w:rPr>
        <w:t xml:space="preserve">(i) The Person in whose name the shares of Common Stock shall be issuable upon conversion shall be treated as a stockholder of record as of the close of business on the relevant Conversion Date (if the Company elects to satisfy the related Conversion Obligation by Physical Settlement) or the last Trading Day of the relevant Observation Period (if the Company elects to satisfy the related Conversion Obligation by Combination Settlement), as the case may be. Upon a conversion of Notes, such Person shall no longer be a Holder of such Notes surrendered for conversion. </w:t>
      </w:r>
    </w:p>
    <w:p>
      <w:pPr>
        <w:pStyle w:val="TextBody"/>
        <w:bidi w:val="0"/>
        <w:spacing w:before="240" w:after="0"/>
        <w:jc w:val="left"/>
        <w:rPr>
          <w:rFonts w:ascii="Times New Roman" w:hAnsi="Times New Roman"/>
          <w:sz w:val="20"/>
        </w:rPr>
      </w:pPr>
      <w:r>
        <w:rPr>
          <w:rFonts w:ascii="Times New Roman" w:hAnsi="Times New Roman"/>
          <w:sz w:val="20"/>
        </w:rPr>
        <w:t xml:space="preserve">(j) The Company shall not issue any fractional share of Common Stock upon conversion of the Notes and shall instead pay cash in lieu of delivering any fractional share of Common Stock issuable upon conversion based on the Daily VWAP for the relevant Conversion Date (in the case of Physical Settlement) or based on the Daily VWAP for the last Trading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relevant Observation Period (in the case of Combination Settlement). For each Note surrendered for conversion, if the Company has elected (or is deemed to have elected) Combination Settlement, the full number of shares that shall be issued upon conversion thereof shall be computed on the basis of the aggregate Daily Settlement Amounts for the relevant Observation Period and any fractional shares remaining after such computation shall be paid in cash. </w:t>
      </w:r>
    </w:p>
    <w:p>
      <w:pPr>
        <w:pStyle w:val="TextBody"/>
        <w:bidi w:val="0"/>
        <w:spacing w:before="240" w:after="0"/>
        <w:jc w:val="left"/>
        <w:rPr>
          <w:rFonts w:ascii="Times New Roman" w:hAnsi="Times New Roman"/>
          <w:sz w:val="20"/>
        </w:rPr>
      </w:pPr>
      <w:r>
        <w:rPr>
          <w:rFonts w:ascii="Times New Roman" w:hAnsi="Times New Roman"/>
          <w:sz w:val="20"/>
        </w:rPr>
        <w:t>Section 14.03</w:t>
      </w:r>
      <w:r>
        <w:rPr>
          <w:rFonts w:ascii="Times New Roman" w:hAnsi="Times New Roman"/>
          <w:i/>
          <w:sz w:val="20"/>
        </w:rPr>
        <w:t>. Increased Conversion Rate Applicable to Certain Notes Surrendered in Connection with Make-Whole Fundamental Changes or a 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(i) the Effective Date of a Make-Whole Fundamental Change occurs prior to the Maturity Date and a Holder elects to convert its Notes in connection with such Make-Whole Fundamental Change or (ii) the Company delivers a Notice of Redemption as provided under Section 16.02 and a Holder elects to convert its Called Notes in connection with such Notice of Redemption, as the case may be, the Company shall, under the circumstances described below, increase the Conversion Rate for the Notes so surrendered for conversion by a number of additional shares of Common Stock (the “</w:t>
      </w:r>
      <w:r>
        <w:rPr>
          <w:rFonts w:ascii="Times New Roman" w:hAnsi="Times New Roman"/>
          <w:b/>
          <w:sz w:val="20"/>
        </w:rPr>
        <w:t>Additional Shares</w:t>
      </w:r>
      <w:r>
        <w:rPr>
          <w:rFonts w:ascii="Times New Roman" w:hAnsi="Times New Roman"/>
          <w:sz w:val="20"/>
        </w:rPr>
        <w:t xml:space="preserve">”), as described below. A conversion of Notes shall be deemed for these purposes to be “in connection with” a Make-Whole Fundamental Change if the relevant Conversion Date occurs during the period from, and including, the Effective Date of the Make-Whole Fundamental Change up to, and including, the Business Day immediately prior to the related Fundamental Change Repurchase Date (or, in the case of an Exempted Fundamental Change or a Make-Whole Fundamental Change that would have been a Fundamental Change but for the </w:t>
      </w:r>
      <w:r>
        <w:rPr>
          <w:rFonts w:ascii="Times New Roman" w:hAnsi="Times New Roman"/>
          <w:i/>
          <w:sz w:val="20"/>
        </w:rPr>
        <w:t>proviso</w:t>
      </w:r>
      <w:r>
        <w:rPr>
          <w:rFonts w:ascii="Times New Roman" w:hAnsi="Times New Roman"/>
          <w:sz w:val="20"/>
        </w:rPr>
        <w:t xml:space="preserve"> in clause (b) of the definition thereof, the 35th Trading Day immediately following the Effective Date of such Make-Whole Fundamental Change) (such period, the “</w:t>
      </w:r>
      <w:r>
        <w:rPr>
          <w:rFonts w:ascii="Times New Roman" w:hAnsi="Times New Roman"/>
          <w:b/>
          <w:sz w:val="20"/>
        </w:rPr>
        <w:t>Make-Whole Fundamental Change Period</w:t>
      </w:r>
      <w:r>
        <w:rPr>
          <w:rFonts w:ascii="Times New Roman" w:hAnsi="Times New Roman"/>
          <w:sz w:val="20"/>
        </w:rPr>
        <w:t xml:space="preserve">”). A conversion of Notes shall be deemed for these purposes to be “in connection with” a Notice of Redemption if such Notes are Called Notes with respect to such Notice of Redemption and the relevant Conversion Date occurs during the related Redemption Period. </w:t>
      </w:r>
    </w:p>
    <w:p>
      <w:pPr>
        <w:pStyle w:val="TextBody"/>
        <w:bidi w:val="0"/>
        <w:spacing w:before="240" w:after="0"/>
        <w:jc w:val="left"/>
        <w:rPr>
          <w:rFonts w:ascii="Times New Roman" w:hAnsi="Times New Roman"/>
          <w:sz w:val="20"/>
        </w:rPr>
      </w:pPr>
      <w:r>
        <w:rPr>
          <w:rFonts w:ascii="Times New Roman" w:hAnsi="Times New Roman"/>
          <w:sz w:val="20"/>
        </w:rPr>
        <w:t xml:space="preserve">(b) Upon surrender of Notes for conversion in connection with a Make-Whole Fundamental Change or a Notice of Redemption, the Company shall, at its option, satisfy the related Conversion Obligation by Physical Settlement, Cash Settlement or Combination Settlement in accordance with Section 14.02;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at the effective time of a Make-Whole Fundamental Change described in clause (b) of the definition of Fundamental Change, the Reference Property following such Make-Whole Fundamental Change is composed entirely of cash, for any conversion of Notes following the Effective Date of such Make-Whole Fundamental Change, the Conversion Obligation shall be calculated based solely on the Stock Price for the transaction and shall be deemed to be an amount of cash per $1,000 principal amount of converted Notes equal to the Conversion Rate (including any increase to reflect the Additional Shares), </w:t>
      </w:r>
      <w:r>
        <w:rPr>
          <w:rFonts w:ascii="Times New Roman" w:hAnsi="Times New Roman"/>
          <w:i/>
          <w:sz w:val="20"/>
        </w:rPr>
        <w:t>multiplied by</w:t>
      </w:r>
      <w:r>
        <w:rPr>
          <w:rFonts w:ascii="Times New Roman" w:hAnsi="Times New Roman"/>
          <w:sz w:val="20"/>
        </w:rPr>
        <w:t xml:space="preserve"> such Stock Price. In such event, the Conversion Obligation shall be determined and paid to Holders in cash on the fifth Business Day following the Conversion Date. The Company shall notify the Holders, the Trustee and the Conversion Agent (if other than the Trustee) in writing of the Effective Date of any Make-Whole Fundamental Change no later than five Business Days after such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The number of Additional Shares, if any, by which the Conversion Rate shall be increased for conversions in connection with a Make-Whole Fundamental Change or a Notice of Redemption shall be determined by reference to the table below, based on the date on which the Make-Whole Fundamental Change occurs or becomes effective or the date the Company delivers the Notice of Redemption, as the case may be (in each case, the “</w:t>
      </w:r>
      <w:r>
        <w:rPr>
          <w:rFonts w:ascii="Times New Roman" w:hAnsi="Times New Roman"/>
          <w:b/>
          <w:sz w:val="20"/>
        </w:rPr>
        <w:t>Effective Date</w:t>
      </w:r>
      <w:r>
        <w:rPr>
          <w:rFonts w:ascii="Times New Roman" w:hAnsi="Times New Roman"/>
          <w:sz w:val="20"/>
        </w:rPr>
        <w:t>”), and the price (the “</w:t>
      </w:r>
      <w:r>
        <w:rPr>
          <w:rFonts w:ascii="Times New Roman" w:hAnsi="Times New Roman"/>
          <w:b/>
          <w:sz w:val="20"/>
        </w:rPr>
        <w:t>Stock Price</w:t>
      </w:r>
      <w:r>
        <w:rPr>
          <w:rFonts w:ascii="Times New Roman" w:hAnsi="Times New Roman"/>
          <w:sz w:val="20"/>
        </w:rPr>
        <w:t xml:space="preserve">”) paid (or deemed to be paid) per share of the Common Stock in the Make-Whole Fundamental Change or determined with respect to the Notice of Redemption, as the case may be. If the holders of the Common Stock receive in exchange for their Common Stock only cash in a Make-Whole Fundamental Change described in clause (b) of the definition of Fundamental Change, the Stock Price shall be the cash amount paid per share. Otherwise, the Stock Price shall be the average of the Last Reported Sale Prices of the Common Stock over the five consecutive Trading Day period ending on, and including, the Trading Day immediately preceding the applicable Effective Date. If a conversion of Called Notes during a Redemption Period would also be deemed to be in connection with a Make-Whole Fundamental Change, a Holder of any such Notes to be converted shall be entitled to a single increase to the Conversion Rate with respect to the first to occur of the Effective Date of the Notice of Redemption or the Make-Whole Fundamental Change, as applicable, and the later event shall be deemed not to have occurred for purposes of such conversion for purposes of this Section 14.03. </w:t>
      </w:r>
    </w:p>
    <w:p>
      <w:pPr>
        <w:pStyle w:val="TextBody"/>
        <w:bidi w:val="0"/>
        <w:spacing w:before="240" w:after="0"/>
        <w:jc w:val="left"/>
        <w:rPr>
          <w:rFonts w:ascii="Times New Roman" w:hAnsi="Times New Roman"/>
          <w:sz w:val="20"/>
        </w:rPr>
      </w:pPr>
      <w:r>
        <w:rPr>
          <w:rFonts w:ascii="Times New Roman" w:hAnsi="Times New Roman"/>
          <w:sz w:val="20"/>
        </w:rPr>
        <w:t xml:space="preserve">(d) The Stock Prices set forth in the column headings of the table below shall be adjusted as of any date on which the Conversion Rate of the Notes is otherwise adjusted. The adjusted Stock Prices shall equal the Stock Prices applicable immediately prior to such adjustment, </w:t>
      </w:r>
      <w:r>
        <w:rPr>
          <w:rFonts w:ascii="Times New Roman" w:hAnsi="Times New Roman"/>
          <w:i/>
          <w:sz w:val="20"/>
        </w:rPr>
        <w:t>multiplied by</w:t>
      </w:r>
      <w:r>
        <w:rPr>
          <w:rFonts w:ascii="Times New Roman" w:hAnsi="Times New Roman"/>
          <w:sz w:val="20"/>
        </w:rPr>
        <w:t xml:space="preserve">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14.04.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following table sets forth the number of Additional Shares by which the Conversion Rate shall be increased per $1,000 principal amount of Notes pursuant to this Section 14.03 for each Stock Price and Effective Date set forth below: </w:t>
      </w:r>
    </w:p>
    <w:p>
      <w:pPr>
        <w:pStyle w:val="TextBody"/>
        <w:bidi w:val="0"/>
        <w:spacing w:before="0" w:after="0"/>
        <w:jc w:val="left"/>
        <w:rPr/>
      </w:pPr>
      <w:r>
        <w:rPr/>
        <w:t> </w:t>
      </w:r>
    </w:p>
    <w:tbl>
      <w:tblPr>
        <w:tblW w:w="12320" w:type="dxa"/>
        <w:jc w:val="center"/>
        <w:tblInd w:w="0" w:type="dxa"/>
        <w:tblLayout w:type="fixed"/>
        <w:tblCellMar>
          <w:top w:w="0" w:type="dxa"/>
          <w:left w:w="0" w:type="dxa"/>
          <w:bottom w:w="0" w:type="dxa"/>
          <w:right w:w="0" w:type="dxa"/>
        </w:tblCellMar>
      </w:tblPr>
      <w:tblGrid>
        <w:gridCol w:w="1160"/>
        <w:gridCol w:w="120"/>
        <w:gridCol w:w="64"/>
        <w:gridCol w:w="736"/>
        <w:gridCol w:w="60"/>
        <w:gridCol w:w="120"/>
        <w:gridCol w:w="60"/>
        <w:gridCol w:w="680"/>
        <w:gridCol w:w="60"/>
        <w:gridCol w:w="120"/>
        <w:gridCol w:w="60"/>
        <w:gridCol w:w="680"/>
        <w:gridCol w:w="60"/>
        <w:gridCol w:w="120"/>
        <w:gridCol w:w="60"/>
        <w:gridCol w:w="680"/>
        <w:gridCol w:w="60"/>
        <w:gridCol w:w="120"/>
        <w:gridCol w:w="60"/>
        <w:gridCol w:w="680"/>
        <w:gridCol w:w="60"/>
        <w:gridCol w:w="120"/>
        <w:gridCol w:w="60"/>
        <w:gridCol w:w="680"/>
        <w:gridCol w:w="60"/>
        <w:gridCol w:w="120"/>
        <w:gridCol w:w="60"/>
        <w:gridCol w:w="680"/>
        <w:gridCol w:w="60"/>
        <w:gridCol w:w="120"/>
        <w:gridCol w:w="60"/>
        <w:gridCol w:w="680"/>
        <w:gridCol w:w="60"/>
        <w:gridCol w:w="120"/>
        <w:gridCol w:w="60"/>
        <w:gridCol w:w="680"/>
        <w:gridCol w:w="60"/>
        <w:gridCol w:w="120"/>
        <w:gridCol w:w="60"/>
        <w:gridCol w:w="680"/>
        <w:gridCol w:w="60"/>
        <w:gridCol w:w="120"/>
        <w:gridCol w:w="60"/>
        <w:gridCol w:w="680"/>
        <w:gridCol w:w="60"/>
        <w:gridCol w:w="120"/>
        <w:gridCol w:w="64"/>
        <w:gridCol w:w="736"/>
        <w:gridCol w:w="60"/>
      </w:tblGrid>
      <w:tr>
        <w:trPr/>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980" w:type="dxa"/>
            <w:gridSpan w:val="46"/>
            <w:tcBorders>
              <w:bottom w:val="single" w:sz="8" w:space="0" w:color="000000"/>
            </w:tcBorders>
            <w:tcMar>
              <w:bottom w:w="28" w:type="dxa"/>
            </w:tcMar>
            <w:vAlign w:val="bottom"/>
          </w:tcPr>
          <w:p>
            <w:pPr>
              <w:pStyle w:val="TableContents"/>
              <w:bidi w:val="0"/>
              <w:spacing w:before="0" w:after="283"/>
              <w:jc w:val="center"/>
              <w:rPr>
                <w:b/>
              </w:rPr>
            </w:pPr>
            <w:r>
              <w:rPr>
                <w:b/>
              </w:rPr>
              <w:t>Stock Price</w:t>
            </w:r>
          </w:p>
        </w:tc>
        <w:tc>
          <w:tcPr>
            <w:tcW w:w="60"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Effective Date</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$13.795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$15.86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$18.00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$20.62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$75.00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$100.00</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6, 2025</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9.4552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8.4167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7.7844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6.5061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5.3468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4.0152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3.0263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1.8758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1.2444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0.8570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0.5068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0.2112</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November 15, 2026</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9.4552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8.4167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7.7844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6.5061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5.3468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3.9972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2.9947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1.8435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1.2186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0.8377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0.4944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0.2062</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15, 2027</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9.4552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8.4167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7.7844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6.5061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5.3104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3.9088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2.9013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1.7665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1.1610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0.7948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0.4669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0.1926</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November 15, 2028</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9.4552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8.4167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7.7844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6.5061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5.1920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3.7504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2.7440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1.6448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1.0734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0.7322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0.4283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0.1750</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15, 2029</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9.4552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8.4167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7.7844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6.3467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4.9243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3.4452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2.4623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1.4425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0.9336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0.6348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0.3704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0.1495</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November 15, 2030</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9.4552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8.4167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7.7844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5.8811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4.3448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2.8660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1.9683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1.1185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0.7212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0.4920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0.2888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0.1162</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15, 2031</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9.4552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8.2093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6.8852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4.6050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3.0262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1.7616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1.1360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0.6343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0.4158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0.2885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0.1719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0.0691</w:t>
            </w:r>
          </w:p>
        </w:tc>
        <w:tc>
          <w:tcPr>
            <w:tcW w:w="60"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November 15, 2032</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9.4552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3.6318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7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7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exact Stock Price and Effective Date may not be set forth in the table above, in which case: </w:t>
      </w:r>
    </w:p>
    <w:p>
      <w:pPr>
        <w:pStyle w:val="TextBody"/>
        <w:bidi w:val="0"/>
        <w:spacing w:before="120" w:after="0"/>
        <w:jc w:val="left"/>
        <w:rPr>
          <w:rFonts w:ascii="Times New Roman" w:hAnsi="Times New Roman"/>
          <w:sz w:val="20"/>
        </w:rPr>
      </w:pPr>
      <w:r>
        <w:rPr>
          <w:rFonts w:ascii="Times New Roman" w:hAnsi="Times New Roman"/>
          <w:sz w:val="20"/>
        </w:rPr>
        <w:t xml:space="preserve">(i) if the Stock Price is between two Stock Prices in the table above or the Effective Date is between two Effective Dates in the table, the number of Additional Shares by which the Conversion Rate shall be increased shall be determined by a straight-line interpolation between the number of Additional Shares set forth for the higher and lower Stock Prices and the earlier and later Effective Dates, as applicable, based on a 365-day year; </w:t>
      </w:r>
    </w:p>
    <w:p>
      <w:pPr>
        <w:pStyle w:val="TextBody"/>
        <w:bidi w:val="0"/>
        <w:spacing w:before="120" w:after="0"/>
        <w:jc w:val="left"/>
        <w:rPr>
          <w:rFonts w:ascii="Times New Roman" w:hAnsi="Times New Roman"/>
          <w:sz w:val="20"/>
        </w:rPr>
      </w:pPr>
      <w:r>
        <w:rPr>
          <w:rFonts w:ascii="Times New Roman" w:hAnsi="Times New Roman"/>
          <w:sz w:val="20"/>
        </w:rPr>
        <w:t xml:space="preserve">(ii) if the Stock Price is greater than $100.00 per share (subject to adjustment in the same manner as the Stock Prices set forth in the column headings of the table above pursuant to Section 14.03(d)), no Additional Shares shall be added to the Conversion Rate; and </w:t>
      </w:r>
    </w:p>
    <w:p>
      <w:pPr>
        <w:pStyle w:val="TextBody"/>
        <w:bidi w:val="0"/>
        <w:spacing w:before="120" w:after="0"/>
        <w:jc w:val="left"/>
        <w:rPr>
          <w:rFonts w:ascii="Times New Roman" w:hAnsi="Times New Roman"/>
          <w:sz w:val="20"/>
        </w:rPr>
      </w:pPr>
      <w:r>
        <w:rPr>
          <w:rFonts w:ascii="Times New Roman" w:hAnsi="Times New Roman"/>
          <w:sz w:val="20"/>
        </w:rPr>
        <w:t xml:space="preserve">(iii) if the Stock Price is less than $13.795 per share (subject to adjustment in the same manner as the Stock Prices set forth in the column headings of the table above pursuant to Section 14.03(d)), no Additional Shares shall be added to the Conversion Rate.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 no event shall the Conversion Rate per $1,000 principal amount of Notes exceed 72.4900 shares of Common Stock, subject to adjustment in the same manner as the Conversion Rate pursuant to Section 14.04. </w:t>
      </w:r>
    </w:p>
    <w:p>
      <w:pPr>
        <w:pStyle w:val="TextBody"/>
        <w:bidi w:val="0"/>
        <w:spacing w:before="240" w:after="0"/>
        <w:jc w:val="left"/>
        <w:rPr>
          <w:rFonts w:ascii="Times New Roman" w:hAnsi="Times New Roman"/>
          <w:sz w:val="20"/>
        </w:rPr>
      </w:pPr>
      <w:r>
        <w:rPr>
          <w:rFonts w:ascii="Times New Roman" w:hAnsi="Times New Roman"/>
          <w:sz w:val="20"/>
        </w:rPr>
        <w:t xml:space="preserve">(f) Nothing in this Section 14.03 shall prevent an adjustment to the Conversion Rate that would otherwise be required pursuant to Section 14.04 in respect of a Make-Whole Fundamental Change. </w:t>
      </w:r>
    </w:p>
    <w:p>
      <w:pPr>
        <w:pStyle w:val="TextBody"/>
        <w:bidi w:val="0"/>
        <w:spacing w:before="240" w:after="0"/>
        <w:jc w:val="left"/>
        <w:rPr>
          <w:rFonts w:ascii="Times New Roman" w:hAnsi="Times New Roman"/>
          <w:sz w:val="20"/>
        </w:rPr>
      </w:pPr>
      <w:r>
        <w:rPr>
          <w:rFonts w:ascii="Times New Roman" w:hAnsi="Times New Roman"/>
          <w:sz w:val="20"/>
        </w:rPr>
        <w:t>Section 14.04</w:t>
      </w:r>
      <w:r>
        <w:rPr>
          <w:rFonts w:ascii="Times New Roman" w:hAnsi="Times New Roman"/>
          <w:i/>
          <w:sz w:val="20"/>
        </w:rPr>
        <w:t>. Adjustment of Conversion Rate</w:t>
      </w:r>
      <w:r>
        <w:rPr>
          <w:rFonts w:ascii="Times New Roman" w:hAnsi="Times New Roman"/>
          <w:sz w:val="20"/>
        </w:rPr>
        <w:t xml:space="preserve">. The Conversion Rate shall be adjusted from time to time by the Company if any of the following events occurs, except that the Company shall not make any adjustments to the Conversion Rate if Holders of the Notes participate (other than in the case of (x) a share split or share combination or (y) a tender or exchange offer), at the same time and upon the same terms as holders of the Common Stock and solely as a result of holding the Notes, in any of the transactions described in this Section 14.04, without having to convert their Notes, as if they held a number of shares of Common Stock equal to the Conversion Rate, </w:t>
      </w:r>
      <w:r>
        <w:rPr>
          <w:rFonts w:ascii="Times New Roman" w:hAnsi="Times New Roman"/>
          <w:i/>
          <w:sz w:val="20"/>
        </w:rPr>
        <w:t>multiplied</w:t>
      </w:r>
      <w:r>
        <w:rPr>
          <w:rFonts w:ascii="Times New Roman" w:hAnsi="Times New Roman"/>
          <w:sz w:val="20"/>
        </w:rPr>
        <w:t xml:space="preserve"> by the principal amount (expressed in thousands) of Notes held by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If the Company exclusively issues shares of Common Stock as a dividend or distribution on shares of the Common Stock, or if the Company effects a share split or share combination, the Conversion Rate shall be adjusted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77165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7165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0"/>
        <w:gridCol w:w="237"/>
        <w:gridCol w:w="159"/>
        <w:gridCol w:w="144"/>
        <w:gridCol w:w="9185"/>
      </w:tblGrid>
      <w:tr>
        <w:trPr/>
        <w:tc>
          <w:tcPr>
            <w:tcW w:w="480"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9185" w:type="dxa"/>
            <w:tcBorders/>
            <w:vAlign w:val="center"/>
          </w:tcPr>
          <w:p>
            <w:pPr>
              <w:pStyle w:val="TableContents"/>
              <w:bidi w:val="0"/>
              <w:spacing w:before="0" w:after="283"/>
              <w:jc w:val="left"/>
              <w:rPr>
                <w:sz w:val="4"/>
                <w:szCs w:val="4"/>
              </w:rPr>
            </w:pPr>
            <w:r>
              <w:rPr>
                <w:sz w:val="4"/>
                <w:szCs w:val="4"/>
              </w:rPr>
            </w:r>
          </w:p>
        </w:tc>
      </w:tr>
      <w:tr>
        <w:trPr/>
        <w:tc>
          <w:tcPr>
            <w:tcW w:w="480" w:type="dxa"/>
            <w:tcBorders/>
          </w:tcPr>
          <w:p>
            <w:pPr>
              <w:pStyle w:val="TableContents"/>
              <w:bidi w:val="0"/>
              <w:spacing w:before="0" w:after="283"/>
              <w:jc w:val="left"/>
              <w:rPr/>
            </w:pPr>
            <w:r>
              <w:rPr/>
              <w:t>CR0</w:t>
            </w:r>
          </w:p>
        </w:tc>
        <w:tc>
          <w:tcPr>
            <w:tcW w:w="237"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left"/>
              <w:rPr/>
            </w:pPr>
            <w:r>
              <w:rPr/>
              <w:t>=</w:t>
            </w:r>
          </w:p>
        </w:tc>
        <w:tc>
          <w:tcPr>
            <w:tcW w:w="144" w:type="dxa"/>
            <w:tcBorders/>
            <w:vAlign w:val="bottom"/>
          </w:tcPr>
          <w:p>
            <w:pPr>
              <w:pStyle w:val="TableContents"/>
              <w:bidi w:val="0"/>
              <w:spacing w:before="0" w:after="283"/>
              <w:jc w:val="left"/>
              <w:rPr/>
            </w:pPr>
            <w:r>
              <w:rPr/>
              <w:t>  </w:t>
            </w:r>
          </w:p>
        </w:tc>
        <w:tc>
          <w:tcPr>
            <w:tcW w:w="9185" w:type="dxa"/>
            <w:tcBorders/>
          </w:tcPr>
          <w:p>
            <w:pPr>
              <w:pStyle w:val="TableContents"/>
              <w:bidi w:val="0"/>
              <w:spacing w:before="0" w:after="283"/>
              <w:jc w:val="left"/>
              <w:rPr/>
            </w:pPr>
            <w:r>
              <w:rPr/>
              <w:t>the Conversion Rate in effect immediately prior to the open of business on the Ex-Dividend Date of such dividend or distribution, or immediately prior to the open of business on the Effective Date of such share split or share combination, as applicable;</w:t>
            </w:r>
          </w:p>
        </w:tc>
      </w:tr>
      <w:tr>
        <w:trPr>
          <w:trHeight w:val="120" w:hRule="atLeast"/>
        </w:trPr>
        <w:tc>
          <w:tcPr>
            <w:tcW w:w="480" w:type="dxa"/>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tcPr>
          <w:p>
            <w:pPr>
              <w:pStyle w:val="TableContents"/>
              <w:bidi w:val="0"/>
              <w:spacing w:before="0" w:after="283"/>
              <w:jc w:val="left"/>
              <w:rPr/>
            </w:pPr>
            <w:r>
              <w:rPr/>
              <w:t>CR1</w:t>
            </w:r>
          </w:p>
        </w:tc>
        <w:tc>
          <w:tcPr>
            <w:tcW w:w="237"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left"/>
              <w:rPr/>
            </w:pPr>
            <w:r>
              <w:rPr/>
              <w:t>=</w:t>
            </w:r>
          </w:p>
        </w:tc>
        <w:tc>
          <w:tcPr>
            <w:tcW w:w="144" w:type="dxa"/>
            <w:tcBorders/>
            <w:vAlign w:val="bottom"/>
          </w:tcPr>
          <w:p>
            <w:pPr>
              <w:pStyle w:val="TableContents"/>
              <w:bidi w:val="0"/>
              <w:spacing w:before="0" w:after="283"/>
              <w:jc w:val="left"/>
              <w:rPr/>
            </w:pPr>
            <w:r>
              <w:rPr/>
              <w:t>  </w:t>
            </w:r>
          </w:p>
        </w:tc>
        <w:tc>
          <w:tcPr>
            <w:tcW w:w="9185" w:type="dxa"/>
            <w:tcBorders/>
          </w:tcPr>
          <w:p>
            <w:pPr>
              <w:pStyle w:val="TableContents"/>
              <w:bidi w:val="0"/>
              <w:spacing w:before="0" w:after="283"/>
              <w:jc w:val="left"/>
              <w:rPr/>
            </w:pPr>
            <w:r>
              <w:rPr/>
              <w:t>the Conversion Rate in effect immediately after the open of business on such Ex-Dividend Date or Effective Date;</w:t>
            </w:r>
          </w:p>
        </w:tc>
      </w:tr>
      <w:tr>
        <w:trPr>
          <w:trHeight w:val="120" w:hRule="atLeast"/>
        </w:trPr>
        <w:tc>
          <w:tcPr>
            <w:tcW w:w="480" w:type="dxa"/>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tcPr>
          <w:p>
            <w:pPr>
              <w:pStyle w:val="TableContents"/>
              <w:bidi w:val="0"/>
              <w:spacing w:before="0" w:after="283"/>
              <w:jc w:val="left"/>
              <w:rPr/>
            </w:pPr>
            <w:r>
              <w:rPr/>
              <w:t>OS0</w:t>
            </w:r>
          </w:p>
        </w:tc>
        <w:tc>
          <w:tcPr>
            <w:tcW w:w="237"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left"/>
              <w:rPr/>
            </w:pPr>
            <w:r>
              <w:rPr/>
              <w:t>=</w:t>
            </w:r>
          </w:p>
        </w:tc>
        <w:tc>
          <w:tcPr>
            <w:tcW w:w="144" w:type="dxa"/>
            <w:tcBorders/>
            <w:vAlign w:val="bottom"/>
          </w:tcPr>
          <w:p>
            <w:pPr>
              <w:pStyle w:val="TableContents"/>
              <w:bidi w:val="0"/>
              <w:spacing w:before="0" w:after="283"/>
              <w:jc w:val="left"/>
              <w:rPr/>
            </w:pPr>
            <w:r>
              <w:rPr/>
              <w:t>  </w:t>
            </w:r>
          </w:p>
        </w:tc>
        <w:tc>
          <w:tcPr>
            <w:tcW w:w="9185" w:type="dxa"/>
            <w:tcBorders/>
          </w:tcPr>
          <w:p>
            <w:pPr>
              <w:pStyle w:val="TableContents"/>
              <w:bidi w:val="0"/>
              <w:spacing w:before="0" w:after="283"/>
              <w:jc w:val="left"/>
              <w:rPr/>
            </w:pPr>
            <w:r>
              <w:rPr/>
              <w:t>the number of shares of Common Stock outstanding immediately prior to the open of business on such Ex-Dividend Date or Effective Date (before giving effect to any such dividend, distribution, split or combination); and</w:t>
            </w:r>
          </w:p>
        </w:tc>
      </w:tr>
      <w:tr>
        <w:trPr>
          <w:trHeight w:val="120" w:hRule="atLeast"/>
        </w:trPr>
        <w:tc>
          <w:tcPr>
            <w:tcW w:w="480" w:type="dxa"/>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9329"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tcPr>
          <w:p>
            <w:pPr>
              <w:pStyle w:val="TableContents"/>
              <w:bidi w:val="0"/>
              <w:spacing w:before="0" w:after="283"/>
              <w:jc w:val="left"/>
              <w:rPr/>
            </w:pPr>
            <w:r>
              <w:rPr/>
              <w:t>OS1</w:t>
            </w:r>
          </w:p>
        </w:tc>
        <w:tc>
          <w:tcPr>
            <w:tcW w:w="237" w:type="dxa"/>
            <w:tcBorders/>
            <w:vAlign w:val="bottom"/>
          </w:tcPr>
          <w:p>
            <w:pPr>
              <w:pStyle w:val="TableContents"/>
              <w:bidi w:val="0"/>
              <w:spacing w:before="0" w:after="283"/>
              <w:jc w:val="left"/>
              <w:rPr/>
            </w:pPr>
            <w:r>
              <w:rPr/>
              <w:t>  </w:t>
            </w:r>
          </w:p>
        </w:tc>
        <w:tc>
          <w:tcPr>
            <w:tcW w:w="159" w:type="dxa"/>
            <w:tcBorders/>
          </w:tcPr>
          <w:p>
            <w:pPr>
              <w:pStyle w:val="TableContents"/>
              <w:bidi w:val="0"/>
              <w:spacing w:before="0" w:after="283"/>
              <w:jc w:val="left"/>
              <w:rPr/>
            </w:pPr>
            <w:r>
              <w:rPr/>
              <w:t>=</w:t>
            </w:r>
          </w:p>
        </w:tc>
        <w:tc>
          <w:tcPr>
            <w:tcW w:w="144" w:type="dxa"/>
            <w:tcBorders/>
            <w:vAlign w:val="bottom"/>
          </w:tcPr>
          <w:p>
            <w:pPr>
              <w:pStyle w:val="TableContents"/>
              <w:bidi w:val="0"/>
              <w:spacing w:before="0" w:after="283"/>
              <w:jc w:val="left"/>
              <w:rPr/>
            </w:pPr>
            <w:r>
              <w:rPr/>
              <w:t>  </w:t>
            </w:r>
          </w:p>
        </w:tc>
        <w:tc>
          <w:tcPr>
            <w:tcW w:w="9185" w:type="dxa"/>
            <w:tcBorders/>
          </w:tcPr>
          <w:p>
            <w:pPr>
              <w:pStyle w:val="TableContents"/>
              <w:bidi w:val="0"/>
              <w:spacing w:before="0" w:after="283"/>
              <w:jc w:val="left"/>
              <w:rPr/>
            </w:pPr>
            <w:r>
              <w:rPr/>
              <w:t>the number of shares of Common Stock outstanding immediately after giving effect to such dividend, distribution, share split or share combination.</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adjustment made under this Section 14.04(a)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 </w:t>
      </w:r>
    </w:p>
    <w:p>
      <w:pPr>
        <w:pStyle w:val="TextBody"/>
        <w:bidi w:val="0"/>
        <w:spacing w:before="240" w:after="0"/>
        <w:jc w:val="left"/>
        <w:rPr>
          <w:rFonts w:ascii="Times New Roman" w:hAnsi="Times New Roman"/>
          <w:sz w:val="20"/>
        </w:rPr>
      </w:pPr>
      <w:r>
        <w:rPr>
          <w:rFonts w:ascii="Times New Roman" w:hAnsi="Times New Roman"/>
          <w:sz w:val="20"/>
        </w:rPr>
        <w:t xml:space="preserve">(b) If the Company distributes to all or substantially all holders of the Common Stock any rights, options or warrants (other than pursuant to a stockholder rights plan) entitling them, for a period of not more than 60 calendar days after the announcement date of such distribution, to subscribe for or purchase shares of the Common Stock at a price per share that is less than the average of the Last Reported Sale Prices of the Common Stock for the 10 consecutive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Day period ending on, and including, the Trading Day immediately preceding the date of announcement of such distribution, the Conversion Rate shall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800225" cy="47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00225" cy="4762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8"/>
        <w:gridCol w:w="123"/>
        <w:gridCol w:w="325"/>
        <w:gridCol w:w="123"/>
        <w:gridCol w:w="8946"/>
      </w:tblGrid>
      <w:tr>
        <w:trPr/>
        <w:tc>
          <w:tcPr>
            <w:tcW w:w="68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946" w:type="dxa"/>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CR0</w:t>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946" w:type="dxa"/>
            <w:tcBorders/>
          </w:tcPr>
          <w:p>
            <w:pPr>
              <w:pStyle w:val="TableContents"/>
              <w:bidi w:val="0"/>
              <w:spacing w:before="0" w:after="283"/>
              <w:jc w:val="left"/>
              <w:rPr/>
            </w:pPr>
            <w:r>
              <w:rPr/>
              <w:t>the Conversion Rate in effect immediately prior to the open of business on the Ex-Dividend Date for such distribution;</w:t>
            </w:r>
          </w:p>
        </w:tc>
      </w:tr>
      <w:tr>
        <w:trPr>
          <w:trHeight w:val="240" w:hRule="atLeast"/>
        </w:trPr>
        <w:tc>
          <w:tcPr>
            <w:tcW w:w="688" w:type="dxa"/>
            <w:tcBorders/>
            <w:vAlign w:val="center"/>
          </w:tcPr>
          <w:p>
            <w:pPr>
              <w:pStyle w:val="TableContents"/>
              <w:bidi w:val="0"/>
              <w:spacing w:before="0" w:after="283"/>
              <w:jc w:val="left"/>
              <w:rPr>
                <w:sz w:val="4"/>
                <w:szCs w:val="4"/>
              </w:rPr>
            </w:pPr>
            <w:r>
              <w:rPr>
                <w:sz w:val="4"/>
                <w:szCs w:val="4"/>
              </w:rPr>
            </w:r>
          </w:p>
        </w:tc>
        <w:tc>
          <w:tcPr>
            <w:tcW w:w="448" w:type="dxa"/>
            <w:gridSpan w:val="2"/>
            <w:tcBorders/>
            <w:vAlign w:val="center"/>
          </w:tcPr>
          <w:p>
            <w:pPr>
              <w:pStyle w:val="TableContents"/>
              <w:bidi w:val="0"/>
              <w:spacing w:before="0" w:after="283"/>
              <w:jc w:val="left"/>
              <w:rPr>
                <w:sz w:val="4"/>
                <w:szCs w:val="4"/>
              </w:rPr>
            </w:pPr>
            <w:r>
              <w:rPr>
                <w:sz w:val="4"/>
                <w:szCs w:val="4"/>
              </w:rPr>
            </w:r>
          </w:p>
        </w:tc>
        <w:tc>
          <w:tcPr>
            <w:tcW w:w="9069"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CR1</w:t>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946" w:type="dxa"/>
            <w:tcBorders/>
          </w:tcPr>
          <w:p>
            <w:pPr>
              <w:pStyle w:val="TableContents"/>
              <w:bidi w:val="0"/>
              <w:spacing w:before="0" w:after="283"/>
              <w:jc w:val="left"/>
              <w:rPr/>
            </w:pPr>
            <w:r>
              <w:rPr/>
              <w:t>the Conversion Rate in effect immediately after the open of business on such Ex-Dividend Date;</w:t>
            </w:r>
          </w:p>
        </w:tc>
      </w:tr>
      <w:tr>
        <w:trPr>
          <w:trHeight w:val="240" w:hRule="atLeast"/>
        </w:trPr>
        <w:tc>
          <w:tcPr>
            <w:tcW w:w="688" w:type="dxa"/>
            <w:tcBorders/>
            <w:vAlign w:val="center"/>
          </w:tcPr>
          <w:p>
            <w:pPr>
              <w:pStyle w:val="TableContents"/>
              <w:bidi w:val="0"/>
              <w:spacing w:before="0" w:after="283"/>
              <w:jc w:val="left"/>
              <w:rPr>
                <w:sz w:val="4"/>
                <w:szCs w:val="4"/>
              </w:rPr>
            </w:pPr>
            <w:r>
              <w:rPr>
                <w:sz w:val="4"/>
                <w:szCs w:val="4"/>
              </w:rPr>
            </w:r>
          </w:p>
        </w:tc>
        <w:tc>
          <w:tcPr>
            <w:tcW w:w="448" w:type="dxa"/>
            <w:gridSpan w:val="2"/>
            <w:tcBorders/>
            <w:vAlign w:val="center"/>
          </w:tcPr>
          <w:p>
            <w:pPr>
              <w:pStyle w:val="TableContents"/>
              <w:bidi w:val="0"/>
              <w:spacing w:before="0" w:after="283"/>
              <w:jc w:val="left"/>
              <w:rPr>
                <w:sz w:val="4"/>
                <w:szCs w:val="4"/>
              </w:rPr>
            </w:pPr>
            <w:r>
              <w:rPr>
                <w:sz w:val="4"/>
                <w:szCs w:val="4"/>
              </w:rPr>
            </w:r>
          </w:p>
        </w:tc>
        <w:tc>
          <w:tcPr>
            <w:tcW w:w="9069"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OS0</w:t>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946" w:type="dxa"/>
            <w:tcBorders/>
          </w:tcPr>
          <w:p>
            <w:pPr>
              <w:pStyle w:val="TableContents"/>
              <w:bidi w:val="0"/>
              <w:spacing w:before="0" w:after="283"/>
              <w:jc w:val="left"/>
              <w:rPr/>
            </w:pPr>
            <w:r>
              <w:rPr/>
              <w:t>the number of shares of Common Stock outstanding immediately prior to the open of business on such Ex-Dividend Date;</w:t>
            </w:r>
          </w:p>
        </w:tc>
      </w:tr>
      <w:tr>
        <w:trPr>
          <w:trHeight w:val="240" w:hRule="atLeast"/>
        </w:trPr>
        <w:tc>
          <w:tcPr>
            <w:tcW w:w="688" w:type="dxa"/>
            <w:tcBorders/>
            <w:vAlign w:val="center"/>
          </w:tcPr>
          <w:p>
            <w:pPr>
              <w:pStyle w:val="TableContents"/>
              <w:bidi w:val="0"/>
              <w:spacing w:before="0" w:after="283"/>
              <w:jc w:val="left"/>
              <w:rPr>
                <w:sz w:val="4"/>
                <w:szCs w:val="4"/>
              </w:rPr>
            </w:pPr>
            <w:r>
              <w:rPr>
                <w:sz w:val="4"/>
                <w:szCs w:val="4"/>
              </w:rPr>
            </w:r>
          </w:p>
        </w:tc>
        <w:tc>
          <w:tcPr>
            <w:tcW w:w="448" w:type="dxa"/>
            <w:gridSpan w:val="2"/>
            <w:tcBorders/>
            <w:vAlign w:val="center"/>
          </w:tcPr>
          <w:p>
            <w:pPr>
              <w:pStyle w:val="TableContents"/>
              <w:bidi w:val="0"/>
              <w:spacing w:before="0" w:after="283"/>
              <w:jc w:val="left"/>
              <w:rPr>
                <w:sz w:val="4"/>
                <w:szCs w:val="4"/>
              </w:rPr>
            </w:pPr>
            <w:r>
              <w:rPr>
                <w:sz w:val="4"/>
                <w:szCs w:val="4"/>
              </w:rPr>
            </w:r>
          </w:p>
        </w:tc>
        <w:tc>
          <w:tcPr>
            <w:tcW w:w="9069"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X</w:t>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946" w:type="dxa"/>
            <w:tcBorders/>
          </w:tcPr>
          <w:p>
            <w:pPr>
              <w:pStyle w:val="TableContents"/>
              <w:bidi w:val="0"/>
              <w:spacing w:before="0" w:after="283"/>
              <w:jc w:val="left"/>
              <w:rPr/>
            </w:pPr>
            <w:r>
              <w:rPr/>
              <w:t>the total number of shares of Common Stock distributable pursuant to such rights, options or warrants; and</w:t>
            </w:r>
          </w:p>
        </w:tc>
      </w:tr>
      <w:tr>
        <w:trPr>
          <w:trHeight w:val="240" w:hRule="atLeast"/>
        </w:trPr>
        <w:tc>
          <w:tcPr>
            <w:tcW w:w="688" w:type="dxa"/>
            <w:tcBorders/>
            <w:vAlign w:val="center"/>
          </w:tcPr>
          <w:p>
            <w:pPr>
              <w:pStyle w:val="TableContents"/>
              <w:bidi w:val="0"/>
              <w:spacing w:before="0" w:after="283"/>
              <w:jc w:val="left"/>
              <w:rPr>
                <w:sz w:val="4"/>
                <w:szCs w:val="4"/>
              </w:rPr>
            </w:pPr>
            <w:r>
              <w:rPr>
                <w:sz w:val="4"/>
                <w:szCs w:val="4"/>
              </w:rPr>
            </w:r>
          </w:p>
        </w:tc>
        <w:tc>
          <w:tcPr>
            <w:tcW w:w="448" w:type="dxa"/>
            <w:gridSpan w:val="2"/>
            <w:tcBorders/>
            <w:vAlign w:val="center"/>
          </w:tcPr>
          <w:p>
            <w:pPr>
              <w:pStyle w:val="TableContents"/>
              <w:bidi w:val="0"/>
              <w:spacing w:before="0" w:after="283"/>
              <w:jc w:val="left"/>
              <w:rPr>
                <w:sz w:val="4"/>
                <w:szCs w:val="4"/>
              </w:rPr>
            </w:pPr>
            <w:r>
              <w:rPr>
                <w:sz w:val="4"/>
                <w:szCs w:val="4"/>
              </w:rPr>
            </w:r>
          </w:p>
        </w:tc>
        <w:tc>
          <w:tcPr>
            <w:tcW w:w="9069"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Y</w:t>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946" w:type="dxa"/>
            <w:tcBorders/>
          </w:tcPr>
          <w:p>
            <w:pPr>
              <w:pStyle w:val="TableContents"/>
              <w:bidi w:val="0"/>
              <w:spacing w:before="0" w:after="283"/>
              <w:jc w:val="left"/>
              <w:rPr/>
            </w:pPr>
            <w:r>
              <w:rPr/>
              <w:t xml:space="preserve">the number of shares of Common Stock equal to the aggregate price payable to exercise such rights, options or warrants, </w:t>
            </w:r>
            <w:r>
              <w:rPr>
                <w:i/>
              </w:rPr>
              <w:t xml:space="preserve">divided by </w:t>
            </w:r>
            <w:r>
              <w:rPr/>
              <w:t>the average of the Last Reported Sale Prices of the Common Stock over the 10 consecutive Trading Day period ending on, and including, the Trading Day immediately preceding the date of announcement of the distribution of such rights, options or warrants.</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increase made under this Section 14.04(b) shall be made successively whenever any such rights, options or warrants are distributed and shall become effective immediately after the open of business on the Ex-Dividend Date for such distribution. To the extent that shares of the Common Stock are not delivered after the expiration of such rights, options or warrants, the Conversion Rate shall be decreased to the Conversion Rate that would then be in effect had the increase with respect to the distribution of such rights, options or warrants been made on the basis of delivery of only the number of shares of Common Stock actually delivered. If such rights, options or warrants are not so distributed, the Conversion Rate shall be decreased to the Conversion Rate that would then be in effect if such Ex-Dividend Date for such distribution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14.04(b), in determining whether any rights, options or warrants entitle the holders of Common Stock to subscribe for or purchase shares of the Common Stock at a price per share that is less than such average of the Last Reported Sale Prices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Common Stock for the 10 consecutive Trading Day period ending on, and including, the Trading Day immediately preceding the date of announcement of such distribution,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 </w:t>
      </w:r>
    </w:p>
    <w:p>
      <w:pPr>
        <w:pStyle w:val="TextBody"/>
        <w:bidi w:val="0"/>
        <w:spacing w:before="120" w:after="0"/>
        <w:jc w:val="left"/>
        <w:rPr>
          <w:rFonts w:ascii="Times New Roman" w:hAnsi="Times New Roman"/>
          <w:sz w:val="20"/>
        </w:rPr>
      </w:pPr>
      <w:r>
        <w:rPr>
          <w:rFonts w:ascii="Times New Roman" w:hAnsi="Times New Roman"/>
          <w:sz w:val="20"/>
        </w:rPr>
        <w:t>(c) 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 issuances (including share splits) as to which an adjustment was effected (or would have been effected but for the 1% Exception) pursuant to Section 14.04(a) or Section 14.04(b), (ii) except as otherwise provided in Section 14.11, rights issued pursuant to any stockholder rights plan of the Company then in effect, (iii) distributions of Reference Property issued in exchange for, or upon conversion of, Common Stock in a Share Exchange Event, (iv) dividends or distributions paid exclusively in cash as to which the provisions set forth in Section 14.04(d) shall apply, and (v) Spin-Offs as to which the provisions set forth below in this Section 14.04(c) shall apply (any of such shares of Capital Stock, evidences of indebtedness, other assets or property or rights, options or warrants to acquire Capital Stock or other securities, the “</w:t>
      </w:r>
      <w:r>
        <w:rPr>
          <w:rFonts w:ascii="Times New Roman" w:hAnsi="Times New Roman"/>
          <w:b/>
          <w:sz w:val="20"/>
        </w:rPr>
        <w:t>Distributed Property</w:t>
      </w:r>
      <w:r>
        <w:rPr>
          <w:rFonts w:ascii="Times New Roman" w:hAnsi="Times New Roman"/>
          <w:sz w:val="20"/>
        </w:rPr>
        <w:t xml:space="preserve">”), then the Conversion Rate shall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2030095" cy="5137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30095" cy="51371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2"/>
        <w:gridCol w:w="120"/>
        <w:gridCol w:w="323"/>
        <w:gridCol w:w="120"/>
        <w:gridCol w:w="8950"/>
      </w:tblGrid>
      <w:tr>
        <w:trPr/>
        <w:tc>
          <w:tcPr>
            <w:tcW w:w="69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950" w:type="dxa"/>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CR0</w:t>
            </w:r>
          </w:p>
        </w:tc>
        <w:tc>
          <w:tcPr>
            <w:tcW w:w="120" w:type="dxa"/>
            <w:tcBorders/>
            <w:vAlign w:val="bottom"/>
          </w:tcPr>
          <w:p>
            <w:pPr>
              <w:pStyle w:val="TableContents"/>
              <w:bidi w:val="0"/>
              <w:spacing w:before="0" w:after="283"/>
              <w:jc w:val="left"/>
              <w:rPr/>
            </w:pPr>
            <w:r>
              <w:rPr/>
              <w:t>  </w:t>
            </w:r>
          </w:p>
        </w:tc>
        <w:tc>
          <w:tcPr>
            <w:tcW w:w="323"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950" w:type="dxa"/>
            <w:tcBorders/>
          </w:tcPr>
          <w:p>
            <w:pPr>
              <w:pStyle w:val="TableContents"/>
              <w:bidi w:val="0"/>
              <w:spacing w:before="0" w:after="283"/>
              <w:jc w:val="left"/>
              <w:rPr/>
            </w:pPr>
            <w:r>
              <w:rPr/>
              <w:t>the Conversion Rate in effect immediately prior to the open of business on the Ex-Dividend Date for such distribution;</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443" w:type="dxa"/>
            <w:gridSpan w:val="2"/>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CR1</w:t>
            </w:r>
          </w:p>
        </w:tc>
        <w:tc>
          <w:tcPr>
            <w:tcW w:w="120" w:type="dxa"/>
            <w:tcBorders/>
            <w:vAlign w:val="bottom"/>
          </w:tcPr>
          <w:p>
            <w:pPr>
              <w:pStyle w:val="TableContents"/>
              <w:bidi w:val="0"/>
              <w:spacing w:before="0" w:after="283"/>
              <w:jc w:val="left"/>
              <w:rPr/>
            </w:pPr>
            <w:r>
              <w:rPr/>
              <w:t>  </w:t>
            </w:r>
          </w:p>
        </w:tc>
        <w:tc>
          <w:tcPr>
            <w:tcW w:w="323"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950" w:type="dxa"/>
            <w:tcBorders/>
          </w:tcPr>
          <w:p>
            <w:pPr>
              <w:pStyle w:val="TableContents"/>
              <w:bidi w:val="0"/>
              <w:spacing w:before="0" w:after="283"/>
              <w:jc w:val="left"/>
              <w:rPr/>
            </w:pPr>
            <w:r>
              <w:rPr/>
              <w:t>the Conversion Rate in effect immediately after the open of business on such Ex-Dividend Date;</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443" w:type="dxa"/>
            <w:gridSpan w:val="2"/>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SP0</w:t>
            </w:r>
          </w:p>
        </w:tc>
        <w:tc>
          <w:tcPr>
            <w:tcW w:w="120" w:type="dxa"/>
            <w:tcBorders/>
            <w:vAlign w:val="bottom"/>
          </w:tcPr>
          <w:p>
            <w:pPr>
              <w:pStyle w:val="TableContents"/>
              <w:bidi w:val="0"/>
              <w:spacing w:before="0" w:after="283"/>
              <w:jc w:val="left"/>
              <w:rPr/>
            </w:pPr>
            <w:r>
              <w:rPr/>
              <w:t>  </w:t>
            </w:r>
          </w:p>
        </w:tc>
        <w:tc>
          <w:tcPr>
            <w:tcW w:w="323"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950" w:type="dxa"/>
            <w:tcBorders/>
          </w:tcPr>
          <w:p>
            <w:pPr>
              <w:pStyle w:val="TableContents"/>
              <w:bidi w:val="0"/>
              <w:spacing w:before="0" w:after="283"/>
              <w:jc w:val="left"/>
              <w:rPr/>
            </w:pPr>
            <w:r>
              <w:rPr/>
              <w:t>the average of the Last Reported Sale Prices of the Common Stock over the 10 consecutive Trading Day period ending on, and including, the Trading Day immediately preceding the Ex-Dividend Date for such distribution; and</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443" w:type="dxa"/>
            <w:gridSpan w:val="2"/>
            <w:tcBorders/>
            <w:vAlign w:val="center"/>
          </w:tcPr>
          <w:p>
            <w:pPr>
              <w:pStyle w:val="TableContents"/>
              <w:bidi w:val="0"/>
              <w:spacing w:before="0" w:after="283"/>
              <w:jc w:val="left"/>
              <w:rPr>
                <w:sz w:val="4"/>
                <w:szCs w:val="4"/>
              </w:rPr>
            </w:pPr>
            <w:r>
              <w:rPr>
                <w:sz w:val="4"/>
                <w:szCs w:val="4"/>
              </w:rPr>
            </w:r>
          </w:p>
        </w:tc>
        <w:tc>
          <w:tcPr>
            <w:tcW w:w="907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FMV</w:t>
            </w:r>
          </w:p>
        </w:tc>
        <w:tc>
          <w:tcPr>
            <w:tcW w:w="120" w:type="dxa"/>
            <w:tcBorders/>
            <w:vAlign w:val="bottom"/>
          </w:tcPr>
          <w:p>
            <w:pPr>
              <w:pStyle w:val="TableContents"/>
              <w:bidi w:val="0"/>
              <w:spacing w:before="0" w:after="283"/>
              <w:jc w:val="left"/>
              <w:rPr/>
            </w:pPr>
            <w:r>
              <w:rPr/>
              <w:t>  </w:t>
            </w:r>
          </w:p>
        </w:tc>
        <w:tc>
          <w:tcPr>
            <w:tcW w:w="323"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950" w:type="dxa"/>
            <w:tcBorders/>
          </w:tcPr>
          <w:p>
            <w:pPr>
              <w:pStyle w:val="TableContents"/>
              <w:bidi w:val="0"/>
              <w:spacing w:before="0" w:after="283"/>
              <w:jc w:val="left"/>
              <w:rPr/>
            </w:pPr>
            <w:r>
              <w:rPr/>
              <w:t>the fair market value (as determined by the Company in good faith) of the Distributed Property with respect to each outstanding share of the Common Stock on the Ex-Dividend Date for such distribution.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increase made under the portion of this Section 14.04(c) above shall become effective immediately after the open of business on the Ex-Dividend Date for such distribution. If such distribution is not so paid or made, the Conversion Rate shall be decreased to be the Conversion Rate that would then be in effect if such distribution had not been declared. Notwithstanding the foregoing, if “FMV” (as defined above) is equal to or greater than “SP0” (as defined above), in lieu of the foregoing increase, each Holder of a Note shall receive, in respect of each $1,000 principal amount thereof, at the same time and upon the same terms as holders of the Common Stock receive the Distributed Property, the amount and kind of Distributed Property such Holder would have received if such Holder owned a number of shares of Common Stock equal to the Conversion Rate in effect on the Ex-Dividend Date for the distribution. </w:t>
      </w:r>
    </w:p>
    <w:p>
      <w:pPr>
        <w:pStyle w:val="TextBody"/>
        <w:bidi w:val="0"/>
        <w:spacing w:before="240" w:after="0"/>
        <w:jc w:val="left"/>
        <w:rPr>
          <w:rFonts w:ascii="Times New Roman" w:hAnsi="Times New Roman"/>
          <w:sz w:val="20"/>
        </w:rPr>
      </w:pPr>
      <w:r>
        <w:rPr>
          <w:rFonts w:ascii="Times New Roman" w:hAnsi="Times New Roman"/>
          <w:sz w:val="20"/>
        </w:rPr>
        <w:t>With respect to an adjustment pursuant to this Section 14.04(c)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Times New Roman" w:hAnsi="Times New Roman"/>
          <w:b/>
          <w:sz w:val="20"/>
        </w:rPr>
        <w:t>Spin-Off</w:t>
      </w:r>
      <w:r>
        <w:rPr>
          <w:rFonts w:ascii="Times New Roman" w:hAnsi="Times New Roman"/>
          <w:sz w:val="20"/>
        </w:rPr>
        <w:t xml:space="preserve">”), the Conversion Rate shall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991360" cy="5041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91360" cy="50419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5"/>
        <w:gridCol w:w="120"/>
        <w:gridCol w:w="322"/>
        <w:gridCol w:w="120"/>
        <w:gridCol w:w="8928"/>
      </w:tblGrid>
      <w:tr>
        <w:trPr/>
        <w:tc>
          <w:tcPr>
            <w:tcW w:w="71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928" w:type="dxa"/>
            <w:tcBorders/>
            <w:vAlign w:val="center"/>
          </w:tcPr>
          <w:p>
            <w:pPr>
              <w:pStyle w:val="TableContents"/>
              <w:bidi w:val="0"/>
              <w:spacing w:before="0" w:after="283"/>
              <w:jc w:val="left"/>
              <w:rPr>
                <w:sz w:val="4"/>
                <w:szCs w:val="4"/>
              </w:rPr>
            </w:pPr>
            <w:r>
              <w:rPr>
                <w:sz w:val="4"/>
                <w:szCs w:val="4"/>
              </w:rPr>
            </w:r>
          </w:p>
        </w:tc>
      </w:tr>
      <w:tr>
        <w:trPr/>
        <w:tc>
          <w:tcPr>
            <w:tcW w:w="715" w:type="dxa"/>
            <w:tcBorders/>
          </w:tcPr>
          <w:p>
            <w:pPr>
              <w:pStyle w:val="TableContents"/>
              <w:bidi w:val="0"/>
              <w:spacing w:before="0" w:after="283"/>
              <w:jc w:val="left"/>
              <w:rPr/>
            </w:pPr>
            <w:r>
              <w:rPr/>
              <w:t>CR0</w:t>
            </w:r>
          </w:p>
        </w:tc>
        <w:tc>
          <w:tcPr>
            <w:tcW w:w="120" w:type="dxa"/>
            <w:tcBorders/>
            <w:vAlign w:val="bottom"/>
          </w:tcPr>
          <w:p>
            <w:pPr>
              <w:pStyle w:val="TableContents"/>
              <w:bidi w:val="0"/>
              <w:spacing w:before="0" w:after="283"/>
              <w:jc w:val="left"/>
              <w:rPr/>
            </w:pPr>
            <w:r>
              <w:rPr/>
              <w:t>  </w:t>
            </w:r>
          </w:p>
        </w:tc>
        <w:tc>
          <w:tcPr>
            <w:tcW w:w="322"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928" w:type="dxa"/>
            <w:tcBorders/>
          </w:tcPr>
          <w:p>
            <w:pPr>
              <w:pStyle w:val="TableContents"/>
              <w:bidi w:val="0"/>
              <w:spacing w:before="0" w:after="283"/>
              <w:jc w:val="left"/>
              <w:rPr/>
            </w:pPr>
            <w:r>
              <w:rPr/>
              <w:t>the Conversion Rate in effect immediately prior to the end of the Valuation Period;</w:t>
            </w:r>
          </w:p>
        </w:tc>
      </w:tr>
      <w:tr>
        <w:trPr>
          <w:trHeight w:val="240" w:hRule="atLeast"/>
        </w:trPr>
        <w:tc>
          <w:tcPr>
            <w:tcW w:w="71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9048" w:type="dxa"/>
            <w:gridSpan w:val="2"/>
            <w:tcBorders/>
            <w:vAlign w:val="center"/>
          </w:tcPr>
          <w:p>
            <w:pPr>
              <w:pStyle w:val="TableContents"/>
              <w:bidi w:val="0"/>
              <w:spacing w:before="0" w:after="283"/>
              <w:jc w:val="left"/>
              <w:rPr>
                <w:sz w:val="4"/>
                <w:szCs w:val="4"/>
              </w:rPr>
            </w:pPr>
            <w:r>
              <w:rPr>
                <w:sz w:val="4"/>
                <w:szCs w:val="4"/>
              </w:rPr>
            </w:r>
          </w:p>
        </w:tc>
      </w:tr>
      <w:tr>
        <w:trPr/>
        <w:tc>
          <w:tcPr>
            <w:tcW w:w="715" w:type="dxa"/>
            <w:tcBorders/>
          </w:tcPr>
          <w:p>
            <w:pPr>
              <w:pStyle w:val="TableContents"/>
              <w:bidi w:val="0"/>
              <w:spacing w:before="0" w:after="283"/>
              <w:jc w:val="left"/>
              <w:rPr/>
            </w:pPr>
            <w:r>
              <w:rPr/>
              <w:t>CR1</w:t>
            </w:r>
          </w:p>
        </w:tc>
        <w:tc>
          <w:tcPr>
            <w:tcW w:w="120" w:type="dxa"/>
            <w:tcBorders/>
            <w:vAlign w:val="bottom"/>
          </w:tcPr>
          <w:p>
            <w:pPr>
              <w:pStyle w:val="TableContents"/>
              <w:bidi w:val="0"/>
              <w:spacing w:before="0" w:after="283"/>
              <w:jc w:val="left"/>
              <w:rPr/>
            </w:pPr>
            <w:r>
              <w:rPr/>
              <w:t>  </w:t>
            </w:r>
          </w:p>
        </w:tc>
        <w:tc>
          <w:tcPr>
            <w:tcW w:w="322"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928" w:type="dxa"/>
            <w:tcBorders/>
          </w:tcPr>
          <w:p>
            <w:pPr>
              <w:pStyle w:val="TableContents"/>
              <w:bidi w:val="0"/>
              <w:spacing w:before="0" w:after="283"/>
              <w:jc w:val="left"/>
              <w:rPr/>
            </w:pPr>
            <w:r>
              <w:rPr/>
              <w:t>the Conversion Rate in effect immediately after the end of the Valuation Period;</w:t>
            </w:r>
          </w:p>
        </w:tc>
      </w:tr>
      <w:tr>
        <w:trPr>
          <w:trHeight w:val="240" w:hRule="atLeast"/>
        </w:trPr>
        <w:tc>
          <w:tcPr>
            <w:tcW w:w="71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9048" w:type="dxa"/>
            <w:gridSpan w:val="2"/>
            <w:tcBorders/>
            <w:vAlign w:val="center"/>
          </w:tcPr>
          <w:p>
            <w:pPr>
              <w:pStyle w:val="TableContents"/>
              <w:bidi w:val="0"/>
              <w:spacing w:before="0" w:after="283"/>
              <w:jc w:val="left"/>
              <w:rPr>
                <w:sz w:val="4"/>
                <w:szCs w:val="4"/>
              </w:rPr>
            </w:pPr>
            <w:r>
              <w:rPr>
                <w:sz w:val="4"/>
                <w:szCs w:val="4"/>
              </w:rPr>
            </w:r>
          </w:p>
        </w:tc>
      </w:tr>
      <w:tr>
        <w:trPr/>
        <w:tc>
          <w:tcPr>
            <w:tcW w:w="715" w:type="dxa"/>
            <w:tcBorders/>
          </w:tcPr>
          <w:p>
            <w:pPr>
              <w:pStyle w:val="TableContents"/>
              <w:bidi w:val="0"/>
              <w:spacing w:before="0" w:after="283"/>
              <w:jc w:val="left"/>
              <w:rPr/>
            </w:pPr>
            <w:r>
              <w:rPr/>
              <w:t>FMV0</w:t>
            </w:r>
          </w:p>
        </w:tc>
        <w:tc>
          <w:tcPr>
            <w:tcW w:w="120" w:type="dxa"/>
            <w:tcBorders/>
            <w:vAlign w:val="bottom"/>
          </w:tcPr>
          <w:p>
            <w:pPr>
              <w:pStyle w:val="TableContents"/>
              <w:bidi w:val="0"/>
              <w:spacing w:before="0" w:after="283"/>
              <w:jc w:val="left"/>
              <w:rPr/>
            </w:pPr>
            <w:r>
              <w:rPr/>
              <w:t>  </w:t>
            </w:r>
          </w:p>
        </w:tc>
        <w:tc>
          <w:tcPr>
            <w:tcW w:w="322"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928" w:type="dxa"/>
            <w:tcBorders/>
          </w:tcPr>
          <w:p>
            <w:pPr>
              <w:pStyle w:val="TableContents"/>
              <w:bidi w:val="0"/>
              <w:spacing w:before="0" w:after="283"/>
              <w:jc w:val="left"/>
              <w:rPr/>
            </w:pPr>
            <w:r>
              <w:rPr/>
              <w:t>the average of the Last Reported Sale Prices of the Capital Stock or similar equity interest distributed to holders of the Common Stock applicable to one share of the Common Stock (determined by reference to the definition of Last Reported Sale Price as set forth in Section 1.01 as if references therein to Common Stock were to such Capital Stock or similar equity interest) over the first 10 consecutive Trading Day period after, and including, the Ex-Dividend Date of the Spin-Off (the “</w:t>
            </w:r>
            <w:r>
              <w:rPr>
                <w:b/>
              </w:rPr>
              <w:t>Valuation Period</w:t>
            </w:r>
            <w:r>
              <w:rPr/>
              <w:t>”); and</w:t>
            </w:r>
          </w:p>
        </w:tc>
      </w:tr>
      <w:tr>
        <w:trPr>
          <w:trHeight w:val="240" w:hRule="atLeast"/>
        </w:trPr>
        <w:tc>
          <w:tcPr>
            <w:tcW w:w="71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9048" w:type="dxa"/>
            <w:gridSpan w:val="2"/>
            <w:tcBorders/>
            <w:vAlign w:val="center"/>
          </w:tcPr>
          <w:p>
            <w:pPr>
              <w:pStyle w:val="TableContents"/>
              <w:bidi w:val="0"/>
              <w:spacing w:before="0" w:after="283"/>
              <w:jc w:val="left"/>
              <w:rPr>
                <w:sz w:val="4"/>
                <w:szCs w:val="4"/>
              </w:rPr>
            </w:pPr>
            <w:r>
              <w:rPr>
                <w:sz w:val="4"/>
                <w:szCs w:val="4"/>
              </w:rPr>
            </w:r>
          </w:p>
        </w:tc>
      </w:tr>
      <w:tr>
        <w:trPr/>
        <w:tc>
          <w:tcPr>
            <w:tcW w:w="715" w:type="dxa"/>
            <w:tcBorders/>
          </w:tcPr>
          <w:p>
            <w:pPr>
              <w:pStyle w:val="TableContents"/>
              <w:bidi w:val="0"/>
              <w:spacing w:before="0" w:after="283"/>
              <w:jc w:val="left"/>
              <w:rPr/>
            </w:pPr>
            <w:r>
              <w:rPr/>
              <w:t>MP0</w:t>
            </w:r>
          </w:p>
        </w:tc>
        <w:tc>
          <w:tcPr>
            <w:tcW w:w="120" w:type="dxa"/>
            <w:tcBorders/>
            <w:vAlign w:val="bottom"/>
          </w:tcPr>
          <w:p>
            <w:pPr>
              <w:pStyle w:val="TableContents"/>
              <w:bidi w:val="0"/>
              <w:spacing w:before="0" w:after="283"/>
              <w:jc w:val="left"/>
              <w:rPr/>
            </w:pPr>
            <w:r>
              <w:rPr/>
              <w:t>  </w:t>
            </w:r>
          </w:p>
        </w:tc>
        <w:tc>
          <w:tcPr>
            <w:tcW w:w="322"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928" w:type="dxa"/>
            <w:tcBorders/>
          </w:tcPr>
          <w:p>
            <w:pPr>
              <w:pStyle w:val="TableContents"/>
              <w:bidi w:val="0"/>
              <w:spacing w:before="0" w:after="283"/>
              <w:jc w:val="left"/>
              <w:rPr/>
            </w:pPr>
            <w:r>
              <w:rPr/>
              <w:t>the average of the Last Reported Sale Prices of the Common Stock over the Valuation Period.</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to the Conversion Rate under the preceding paragraph shall occur at the close of business on the last Trading Day of the Valuation Period; </w:t>
      </w:r>
      <w:r>
        <w:rPr>
          <w:rFonts w:ascii="Times New Roman" w:hAnsi="Times New Roman"/>
          <w:i/>
          <w:sz w:val="20"/>
        </w:rPr>
        <w:t>provided</w:t>
      </w:r>
      <w:r>
        <w:rPr>
          <w:rFonts w:ascii="Times New Roman" w:hAnsi="Times New Roman"/>
          <w:sz w:val="20"/>
        </w:rPr>
        <w:t xml:space="preserve"> that (x) in respect of any conversion of Notes for which Physical Settlement is applicable, if the relevant Conversion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occurs during the Valuation Period, the reference to “10” in the preceding paragraph shall be deemed to be replaced with such lesser number of Trading Days as have elapsed from, and including, the Ex-Dividend Date of such Spin-Off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Valuation Period, the reference to “10” in the preceding paragraph shall be deemed to be replaced with such lesser number of Trading Days as have elapsed from, and including, the Ex-Dividend Date of such Spin-Off to, and including, such Trading Day in determining the Conversion Rate as of such Trading Day of such Observation Period. 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 </w:t>
      </w:r>
    </w:p>
    <w:p>
      <w:pPr>
        <w:pStyle w:val="TextBody"/>
        <w:bidi w:val="0"/>
        <w:spacing w:before="240" w:after="0"/>
        <w:jc w:val="left"/>
        <w:rPr>
          <w:rFonts w:ascii="Times New Roman" w:hAnsi="Times New Roman"/>
          <w:sz w:val="20"/>
        </w:rPr>
      </w:pPr>
      <w:r>
        <w:rPr>
          <w:rFonts w:ascii="Times New Roman" w:hAnsi="Times New Roman"/>
          <w:sz w:val="20"/>
        </w:rPr>
        <w:t>For purposes of this Section 14.04(c) (and subject in all respect to Section 14.11),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Times New Roman" w:hAnsi="Times New Roman"/>
          <w:b/>
          <w:sz w:val="20"/>
        </w:rPr>
        <w:t>Trigger Event</w:t>
      </w:r>
      <w:r>
        <w:rPr>
          <w:rFonts w:ascii="Times New Roman" w:hAnsi="Times New Roman"/>
          <w:sz w:val="20"/>
        </w:rPr>
        <w:t xml:space="preserve">”): (i) are deemed to be transferred with such shares of the Common Stock; (ii) are not exercisable; and (iii) are also issued in respect of future issuances of the Common Stock,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Section 14.04(a), Section 14.04(b) and this Section 14.04(c), if any dividend or distribution to which this Section 14.04(c) is applicable also includes one or both of: </w:t>
      </w:r>
    </w:p>
    <w:p>
      <w:pPr>
        <w:pStyle w:val="TextBody"/>
        <w:bidi w:val="0"/>
        <w:spacing w:before="120" w:after="0"/>
        <w:jc w:val="left"/>
        <w:rPr>
          <w:rFonts w:ascii="Times New Roman" w:hAnsi="Times New Roman"/>
          <w:sz w:val="20"/>
        </w:rPr>
      </w:pPr>
      <w:r>
        <w:rPr>
          <w:rFonts w:ascii="Times New Roman" w:hAnsi="Times New Roman"/>
          <w:sz w:val="20"/>
        </w:rPr>
        <w:t>(A) a dividend or distribution of shares of Common Stock to which Section 14.04(a) is applicable (the “</w:t>
      </w:r>
      <w:r>
        <w:rPr>
          <w:rFonts w:ascii="Times New Roman" w:hAnsi="Times New Roman"/>
          <w:b/>
          <w:sz w:val="20"/>
        </w:rPr>
        <w:t>Clause A Distribution</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(B) a dividend or distribution of rights, options or warrants to which Section 14.04(b) is applicable (the “</w:t>
      </w:r>
      <w:r>
        <w:rPr>
          <w:rFonts w:ascii="Times New Roman" w:hAnsi="Times New Roman"/>
          <w:b/>
          <w:sz w:val="20"/>
        </w:rPr>
        <w:t>Clause B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then, in either case, (1) such dividend or distribution, other than the Clause A Distribution and the Clause B Distribution, shall be deemed to be a dividend or distribution to which this Section 14.04(c) is applicable (the “</w:t>
      </w:r>
      <w:r>
        <w:rPr>
          <w:rFonts w:ascii="Times New Roman" w:hAnsi="Times New Roman"/>
          <w:b/>
          <w:sz w:val="20"/>
        </w:rPr>
        <w:t>Clause C Distribution</w:t>
      </w:r>
      <w:r>
        <w:rPr>
          <w:rFonts w:ascii="Times New Roman" w:hAnsi="Times New Roman"/>
          <w:sz w:val="20"/>
        </w:rPr>
        <w:t xml:space="preserve">”) and any Conversion Rate adjustment required by this 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 </w:t>
      </w:r>
    </w:p>
    <w:p>
      <w:pPr>
        <w:pStyle w:val="TextBody"/>
        <w:bidi w:val="0"/>
        <w:spacing w:before="120" w:after="0"/>
        <w:jc w:val="left"/>
        <w:rPr>
          <w:rFonts w:ascii="Times New Roman" w:hAnsi="Times New Roman"/>
          <w:sz w:val="20"/>
        </w:rPr>
      </w:pPr>
      <w:r>
        <w:rPr>
          <w:rFonts w:ascii="Times New Roman" w:hAnsi="Times New Roman"/>
          <w:sz w:val="20"/>
        </w:rPr>
        <w:t xml:space="preserve">(d) If the Company makes any cash dividend or distribution to all or substantially all holders of the Common Stock, the Conversion Rate shall be adjusted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819275" cy="514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19275" cy="5143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5"/>
        <w:gridCol w:w="123"/>
        <w:gridCol w:w="325"/>
        <w:gridCol w:w="123"/>
        <w:gridCol w:w="8949"/>
      </w:tblGrid>
      <w:tr>
        <w:trPr/>
        <w:tc>
          <w:tcPr>
            <w:tcW w:w="68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949" w:type="dxa"/>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CR0</w:t>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949" w:type="dxa"/>
            <w:tcBorders/>
          </w:tcPr>
          <w:p>
            <w:pPr>
              <w:pStyle w:val="TableContents"/>
              <w:bidi w:val="0"/>
              <w:spacing w:before="0" w:after="283"/>
              <w:jc w:val="left"/>
              <w:rPr/>
            </w:pPr>
            <w:r>
              <w:rPr/>
              <w:t>the Conversion Rate in effect immediately prior to the open of business on the Ex-Dividend Date for such dividend or distribution;</w:t>
            </w:r>
          </w:p>
        </w:tc>
      </w:tr>
      <w:tr>
        <w:trPr>
          <w:trHeight w:val="240" w:hRule="atLeast"/>
        </w:trPr>
        <w:tc>
          <w:tcPr>
            <w:tcW w:w="685" w:type="dxa"/>
            <w:tcBorders/>
            <w:vAlign w:val="center"/>
          </w:tcPr>
          <w:p>
            <w:pPr>
              <w:pStyle w:val="TableContents"/>
              <w:bidi w:val="0"/>
              <w:spacing w:before="0" w:after="283"/>
              <w:jc w:val="left"/>
              <w:rPr>
                <w:sz w:val="4"/>
                <w:szCs w:val="4"/>
              </w:rPr>
            </w:pPr>
            <w:r>
              <w:rPr>
                <w:sz w:val="4"/>
                <w:szCs w:val="4"/>
              </w:rPr>
            </w:r>
          </w:p>
        </w:tc>
        <w:tc>
          <w:tcPr>
            <w:tcW w:w="448" w:type="dxa"/>
            <w:gridSpan w:val="2"/>
            <w:tcBorders/>
            <w:vAlign w:val="center"/>
          </w:tcPr>
          <w:p>
            <w:pPr>
              <w:pStyle w:val="TableContents"/>
              <w:bidi w:val="0"/>
              <w:spacing w:before="0" w:after="283"/>
              <w:jc w:val="left"/>
              <w:rPr>
                <w:sz w:val="4"/>
                <w:szCs w:val="4"/>
              </w:rPr>
            </w:pPr>
            <w:r>
              <w:rPr>
                <w:sz w:val="4"/>
                <w:szCs w:val="4"/>
              </w:rPr>
            </w:r>
          </w:p>
        </w:tc>
        <w:tc>
          <w:tcPr>
            <w:tcW w:w="9072"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CR1</w:t>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949" w:type="dxa"/>
            <w:tcBorders/>
          </w:tcPr>
          <w:p>
            <w:pPr>
              <w:pStyle w:val="TableContents"/>
              <w:bidi w:val="0"/>
              <w:spacing w:before="0" w:after="283"/>
              <w:jc w:val="left"/>
              <w:rPr/>
            </w:pPr>
            <w:r>
              <w:rPr/>
              <w:t>the Conversion Rate in effect immediately after the open of business on the Ex-Dividend Date for such dividend or distribution;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64"/>
        <w:gridCol w:w="120"/>
        <w:gridCol w:w="323"/>
        <w:gridCol w:w="120"/>
        <w:gridCol w:w="8978"/>
      </w:tblGrid>
      <w:tr>
        <w:trPr/>
        <w:tc>
          <w:tcPr>
            <w:tcW w:w="66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978"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443" w:type="dxa"/>
            <w:gridSpan w:val="2"/>
            <w:tcBorders/>
            <w:vAlign w:val="center"/>
          </w:tcPr>
          <w:p>
            <w:pPr>
              <w:pStyle w:val="TableContents"/>
              <w:bidi w:val="0"/>
              <w:spacing w:before="0" w:after="283"/>
              <w:jc w:val="left"/>
              <w:rPr>
                <w:sz w:val="4"/>
                <w:szCs w:val="4"/>
              </w:rPr>
            </w:pPr>
            <w:r>
              <w:rPr>
                <w:sz w:val="4"/>
                <w:szCs w:val="4"/>
              </w:rPr>
            </w:r>
          </w:p>
        </w:tc>
        <w:tc>
          <w:tcPr>
            <w:tcW w:w="909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SP0</w:t>
            </w:r>
          </w:p>
        </w:tc>
        <w:tc>
          <w:tcPr>
            <w:tcW w:w="120" w:type="dxa"/>
            <w:tcBorders/>
            <w:vAlign w:val="bottom"/>
          </w:tcPr>
          <w:p>
            <w:pPr>
              <w:pStyle w:val="TableContents"/>
              <w:bidi w:val="0"/>
              <w:spacing w:before="0" w:after="283"/>
              <w:jc w:val="left"/>
              <w:rPr/>
            </w:pPr>
            <w:r>
              <w:rPr/>
              <w:t>  </w:t>
            </w:r>
          </w:p>
        </w:tc>
        <w:tc>
          <w:tcPr>
            <w:tcW w:w="323"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978" w:type="dxa"/>
            <w:tcBorders/>
          </w:tcPr>
          <w:p>
            <w:pPr>
              <w:pStyle w:val="TableContents"/>
              <w:bidi w:val="0"/>
              <w:spacing w:before="0" w:after="283"/>
              <w:jc w:val="left"/>
              <w:rPr/>
            </w:pPr>
            <w:r>
              <w:rPr/>
              <w:t>the Last Reported Sale Price of the Common Stock on the Trading Day immediately preceding the Ex-Dividend Date for such dividend or distribution; and</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443" w:type="dxa"/>
            <w:gridSpan w:val="2"/>
            <w:tcBorders/>
            <w:vAlign w:val="center"/>
          </w:tcPr>
          <w:p>
            <w:pPr>
              <w:pStyle w:val="TableContents"/>
              <w:bidi w:val="0"/>
              <w:spacing w:before="0" w:after="283"/>
              <w:jc w:val="left"/>
              <w:rPr>
                <w:sz w:val="4"/>
                <w:szCs w:val="4"/>
              </w:rPr>
            </w:pPr>
            <w:r>
              <w:rPr>
                <w:sz w:val="4"/>
                <w:szCs w:val="4"/>
              </w:rPr>
            </w:r>
          </w:p>
        </w:tc>
        <w:tc>
          <w:tcPr>
            <w:tcW w:w="909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C</w:t>
            </w:r>
          </w:p>
        </w:tc>
        <w:tc>
          <w:tcPr>
            <w:tcW w:w="120" w:type="dxa"/>
            <w:tcBorders/>
            <w:vAlign w:val="bottom"/>
          </w:tcPr>
          <w:p>
            <w:pPr>
              <w:pStyle w:val="TableContents"/>
              <w:bidi w:val="0"/>
              <w:spacing w:before="0" w:after="283"/>
              <w:jc w:val="left"/>
              <w:rPr/>
            </w:pPr>
            <w:r>
              <w:rPr/>
              <w:t>  </w:t>
            </w:r>
          </w:p>
        </w:tc>
        <w:tc>
          <w:tcPr>
            <w:tcW w:w="323"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978" w:type="dxa"/>
            <w:tcBorders/>
          </w:tcPr>
          <w:p>
            <w:pPr>
              <w:pStyle w:val="TableContents"/>
              <w:bidi w:val="0"/>
              <w:spacing w:before="0" w:after="283"/>
              <w:jc w:val="left"/>
              <w:rPr/>
            </w:pPr>
            <w:r>
              <w:rPr/>
              <w:t>the amount in cash per share the Company distributes to all or substantially all holders of the Common Stock.</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increase pursuant to this Section 14.04(d)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“SP0” (as defined above), in lieu of the foregoing increase, each Holder of a Note shall receive, for each $1,000 principal amount of Notes it holds, at the same time and upon the same terms as holders of shares of the Common Stock, the amount of cash that such Holder would have received if such Holder owned a number of shares of Common Stock equal to the Conversion Rate on the Ex-Dividend Date for such cash dividend or distribution. </w:t>
      </w:r>
    </w:p>
    <w:p>
      <w:pPr>
        <w:pStyle w:val="TextBody"/>
        <w:bidi w:val="0"/>
        <w:spacing w:before="120" w:after="0"/>
        <w:jc w:val="left"/>
        <w:rPr>
          <w:rFonts w:ascii="Times New Roman" w:hAnsi="Times New Roman"/>
          <w:sz w:val="20"/>
        </w:rPr>
      </w:pPr>
      <w:r>
        <w:rPr>
          <w:rFonts w:ascii="Times New Roman" w:hAnsi="Times New Roman"/>
          <w:sz w:val="20"/>
        </w:rPr>
        <w:t xml:space="preserve">(e) If the Company or any of its Subsidiaries make a payment in respect of a tender or exchange offer for the Common Stock that is subject to the then applicable tender offer rules under the Exchange Act (other than any odd-lot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2266950" cy="552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266950" cy="5524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3"/>
        <w:gridCol w:w="120"/>
        <w:gridCol w:w="323"/>
        <w:gridCol w:w="120"/>
        <w:gridCol w:w="8969"/>
      </w:tblGrid>
      <w:tr>
        <w:trPr/>
        <w:tc>
          <w:tcPr>
            <w:tcW w:w="67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969" w:type="dxa"/>
            <w:tcBorders/>
            <w:vAlign w:val="center"/>
          </w:tcPr>
          <w:p>
            <w:pPr>
              <w:pStyle w:val="TableContents"/>
              <w:bidi w:val="0"/>
              <w:spacing w:before="0" w:after="283"/>
              <w:jc w:val="left"/>
              <w:rPr>
                <w:sz w:val="4"/>
                <w:szCs w:val="4"/>
              </w:rPr>
            </w:pPr>
            <w:r>
              <w:rPr>
                <w:sz w:val="4"/>
                <w:szCs w:val="4"/>
              </w:rPr>
            </w:r>
          </w:p>
        </w:tc>
      </w:tr>
      <w:tr>
        <w:trPr/>
        <w:tc>
          <w:tcPr>
            <w:tcW w:w="673" w:type="dxa"/>
            <w:tcBorders/>
          </w:tcPr>
          <w:p>
            <w:pPr>
              <w:pStyle w:val="TableContents"/>
              <w:bidi w:val="0"/>
              <w:spacing w:before="0" w:after="283"/>
              <w:jc w:val="left"/>
              <w:rPr/>
            </w:pPr>
            <w:r>
              <w:rPr/>
              <w:t>CR0</w:t>
            </w:r>
          </w:p>
        </w:tc>
        <w:tc>
          <w:tcPr>
            <w:tcW w:w="120" w:type="dxa"/>
            <w:tcBorders/>
            <w:vAlign w:val="bottom"/>
          </w:tcPr>
          <w:p>
            <w:pPr>
              <w:pStyle w:val="TableContents"/>
              <w:bidi w:val="0"/>
              <w:spacing w:before="0" w:after="283"/>
              <w:jc w:val="left"/>
              <w:rPr/>
            </w:pPr>
            <w:r>
              <w:rPr/>
              <w:t>  </w:t>
            </w:r>
          </w:p>
        </w:tc>
        <w:tc>
          <w:tcPr>
            <w:tcW w:w="323"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969" w:type="dxa"/>
            <w:tcBorders/>
          </w:tcPr>
          <w:p>
            <w:pPr>
              <w:pStyle w:val="TableContents"/>
              <w:bidi w:val="0"/>
              <w:spacing w:before="0" w:after="283"/>
              <w:jc w:val="left"/>
              <w:rPr/>
            </w:pPr>
            <w:r>
              <w:rPr/>
              <w:t>the Conversion Rate in effect immediately prior to the close of business on the 10th Trading Day immediately following, and including, the Trading Day next succeeding the date such tender or exchange offer expires;</w:t>
            </w:r>
          </w:p>
        </w:tc>
      </w:tr>
      <w:tr>
        <w:trPr>
          <w:trHeight w:val="240" w:hRule="atLeast"/>
        </w:trPr>
        <w:tc>
          <w:tcPr>
            <w:tcW w:w="673" w:type="dxa"/>
            <w:tcBorders/>
            <w:vAlign w:val="center"/>
          </w:tcPr>
          <w:p>
            <w:pPr>
              <w:pStyle w:val="TableContents"/>
              <w:bidi w:val="0"/>
              <w:spacing w:before="0" w:after="283"/>
              <w:jc w:val="left"/>
              <w:rPr>
                <w:sz w:val="4"/>
                <w:szCs w:val="4"/>
              </w:rPr>
            </w:pPr>
            <w:r>
              <w:rPr>
                <w:sz w:val="4"/>
                <w:szCs w:val="4"/>
              </w:rPr>
            </w:r>
          </w:p>
        </w:tc>
        <w:tc>
          <w:tcPr>
            <w:tcW w:w="443" w:type="dxa"/>
            <w:gridSpan w:val="2"/>
            <w:tcBorders/>
            <w:vAlign w:val="center"/>
          </w:tcPr>
          <w:p>
            <w:pPr>
              <w:pStyle w:val="TableContents"/>
              <w:bidi w:val="0"/>
              <w:spacing w:before="0" w:after="283"/>
              <w:jc w:val="left"/>
              <w:rPr>
                <w:sz w:val="4"/>
                <w:szCs w:val="4"/>
              </w:rPr>
            </w:pPr>
            <w:r>
              <w:rPr>
                <w:sz w:val="4"/>
                <w:szCs w:val="4"/>
              </w:rPr>
            </w:r>
          </w:p>
        </w:tc>
        <w:tc>
          <w:tcPr>
            <w:tcW w:w="9089" w:type="dxa"/>
            <w:gridSpan w:val="2"/>
            <w:tcBorders/>
            <w:vAlign w:val="center"/>
          </w:tcPr>
          <w:p>
            <w:pPr>
              <w:pStyle w:val="TableContents"/>
              <w:bidi w:val="0"/>
              <w:spacing w:before="0" w:after="283"/>
              <w:jc w:val="left"/>
              <w:rPr>
                <w:sz w:val="4"/>
                <w:szCs w:val="4"/>
              </w:rPr>
            </w:pPr>
            <w:r>
              <w:rPr>
                <w:sz w:val="4"/>
                <w:szCs w:val="4"/>
              </w:rPr>
            </w:r>
          </w:p>
        </w:tc>
      </w:tr>
      <w:tr>
        <w:trPr/>
        <w:tc>
          <w:tcPr>
            <w:tcW w:w="673" w:type="dxa"/>
            <w:tcBorders/>
          </w:tcPr>
          <w:p>
            <w:pPr>
              <w:pStyle w:val="TableContents"/>
              <w:bidi w:val="0"/>
              <w:spacing w:before="0" w:after="283"/>
              <w:jc w:val="left"/>
              <w:rPr/>
            </w:pPr>
            <w:r>
              <w:rPr/>
              <w:t>CR1</w:t>
            </w:r>
          </w:p>
        </w:tc>
        <w:tc>
          <w:tcPr>
            <w:tcW w:w="120" w:type="dxa"/>
            <w:tcBorders/>
            <w:vAlign w:val="bottom"/>
          </w:tcPr>
          <w:p>
            <w:pPr>
              <w:pStyle w:val="TableContents"/>
              <w:bidi w:val="0"/>
              <w:spacing w:before="0" w:after="283"/>
              <w:jc w:val="left"/>
              <w:rPr/>
            </w:pPr>
            <w:r>
              <w:rPr/>
              <w:t>  </w:t>
            </w:r>
          </w:p>
        </w:tc>
        <w:tc>
          <w:tcPr>
            <w:tcW w:w="323"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8969" w:type="dxa"/>
            <w:tcBorders/>
          </w:tcPr>
          <w:p>
            <w:pPr>
              <w:pStyle w:val="TableContents"/>
              <w:bidi w:val="0"/>
              <w:spacing w:before="0" w:after="283"/>
              <w:jc w:val="left"/>
              <w:rPr/>
            </w:pPr>
            <w:r>
              <w:rPr/>
              <w:t>the Conversion Rate in effect immediately after the close of business on the 10th Trading Day immediately following, and including, the Trading Day next succeeding the date such tender or exchange offer expires;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83"/>
        <w:gridCol w:w="123"/>
        <w:gridCol w:w="325"/>
        <w:gridCol w:w="123"/>
        <w:gridCol w:w="8951"/>
      </w:tblGrid>
      <w:tr>
        <w:trPr/>
        <w:tc>
          <w:tcPr>
            <w:tcW w:w="68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95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683" w:type="dxa"/>
            <w:tcBorders/>
            <w:vAlign w:val="center"/>
          </w:tcPr>
          <w:p>
            <w:pPr>
              <w:pStyle w:val="TableContents"/>
              <w:bidi w:val="0"/>
              <w:spacing w:before="0" w:after="283"/>
              <w:jc w:val="left"/>
              <w:rPr>
                <w:sz w:val="4"/>
                <w:szCs w:val="4"/>
              </w:rPr>
            </w:pPr>
            <w:r>
              <w:rPr>
                <w:sz w:val="4"/>
                <w:szCs w:val="4"/>
              </w:rPr>
            </w:r>
          </w:p>
        </w:tc>
        <w:tc>
          <w:tcPr>
            <w:tcW w:w="448" w:type="dxa"/>
            <w:gridSpan w:val="2"/>
            <w:tcBorders/>
            <w:vAlign w:val="center"/>
          </w:tcPr>
          <w:p>
            <w:pPr>
              <w:pStyle w:val="TableContents"/>
              <w:bidi w:val="0"/>
              <w:spacing w:before="0" w:after="283"/>
              <w:jc w:val="left"/>
              <w:rPr>
                <w:sz w:val="4"/>
                <w:szCs w:val="4"/>
              </w:rPr>
            </w:pPr>
            <w:r>
              <w:rPr>
                <w:sz w:val="4"/>
                <w:szCs w:val="4"/>
              </w:rPr>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tcPr>
          <w:p>
            <w:pPr>
              <w:pStyle w:val="TableContents"/>
              <w:bidi w:val="0"/>
              <w:spacing w:before="0" w:after="283"/>
              <w:jc w:val="left"/>
              <w:rPr/>
            </w:pPr>
            <w:r>
              <w:rPr/>
              <w:t>AC</w:t>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951" w:type="dxa"/>
            <w:tcBorders/>
          </w:tcPr>
          <w:p>
            <w:pPr>
              <w:pStyle w:val="TableContents"/>
              <w:bidi w:val="0"/>
              <w:spacing w:before="0" w:after="283"/>
              <w:jc w:val="left"/>
              <w:rPr/>
            </w:pPr>
            <w:r>
              <w:rPr/>
              <w:t>the aggregate value of all cash and any other consideration (as determined by the Company in good faith) paid or payable for shares of Common Stock purchased in such tender or exchange offer;</w:t>
            </w:r>
          </w:p>
        </w:tc>
      </w:tr>
      <w:tr>
        <w:trPr>
          <w:trHeight w:val="240" w:hRule="atLeast"/>
        </w:trPr>
        <w:tc>
          <w:tcPr>
            <w:tcW w:w="683" w:type="dxa"/>
            <w:tcBorders/>
            <w:vAlign w:val="center"/>
          </w:tcPr>
          <w:p>
            <w:pPr>
              <w:pStyle w:val="TableContents"/>
              <w:bidi w:val="0"/>
              <w:spacing w:before="0" w:after="283"/>
              <w:jc w:val="left"/>
              <w:rPr>
                <w:sz w:val="4"/>
                <w:szCs w:val="4"/>
              </w:rPr>
            </w:pPr>
            <w:r>
              <w:rPr>
                <w:sz w:val="4"/>
                <w:szCs w:val="4"/>
              </w:rPr>
            </w:r>
          </w:p>
        </w:tc>
        <w:tc>
          <w:tcPr>
            <w:tcW w:w="448" w:type="dxa"/>
            <w:gridSpan w:val="2"/>
            <w:tcBorders/>
            <w:vAlign w:val="center"/>
          </w:tcPr>
          <w:p>
            <w:pPr>
              <w:pStyle w:val="TableContents"/>
              <w:bidi w:val="0"/>
              <w:spacing w:before="0" w:after="283"/>
              <w:jc w:val="left"/>
              <w:rPr>
                <w:sz w:val="4"/>
                <w:szCs w:val="4"/>
              </w:rPr>
            </w:pPr>
            <w:r>
              <w:rPr>
                <w:sz w:val="4"/>
                <w:szCs w:val="4"/>
              </w:rPr>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tcPr>
          <w:p>
            <w:pPr>
              <w:pStyle w:val="TableContents"/>
              <w:bidi w:val="0"/>
              <w:spacing w:before="0" w:after="283"/>
              <w:jc w:val="left"/>
              <w:rPr/>
            </w:pPr>
            <w:r>
              <w:rPr/>
              <w:t>OS0</w:t>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951" w:type="dxa"/>
            <w:tcBorders/>
          </w:tcPr>
          <w:p>
            <w:pPr>
              <w:pStyle w:val="TableContents"/>
              <w:bidi w:val="0"/>
              <w:spacing w:before="0" w:after="283"/>
              <w:jc w:val="left"/>
              <w:rPr/>
            </w:pPr>
            <w:r>
              <w:rPr/>
              <w:t>the number of shares of Common Stock outstanding immediately prior to the date such tender or exchange offer expires (prior to giving effect to the purchase of all shares of Common Stock accepted for purchase or exchange in such tender or exchange offer);</w:t>
            </w:r>
          </w:p>
        </w:tc>
      </w:tr>
      <w:tr>
        <w:trPr>
          <w:trHeight w:val="240" w:hRule="atLeast"/>
        </w:trPr>
        <w:tc>
          <w:tcPr>
            <w:tcW w:w="683" w:type="dxa"/>
            <w:tcBorders/>
            <w:vAlign w:val="center"/>
          </w:tcPr>
          <w:p>
            <w:pPr>
              <w:pStyle w:val="TableContents"/>
              <w:bidi w:val="0"/>
              <w:spacing w:before="0" w:after="283"/>
              <w:jc w:val="left"/>
              <w:rPr>
                <w:sz w:val="4"/>
                <w:szCs w:val="4"/>
              </w:rPr>
            </w:pPr>
            <w:r>
              <w:rPr>
                <w:sz w:val="4"/>
                <w:szCs w:val="4"/>
              </w:rPr>
            </w:r>
          </w:p>
        </w:tc>
        <w:tc>
          <w:tcPr>
            <w:tcW w:w="448" w:type="dxa"/>
            <w:gridSpan w:val="2"/>
            <w:tcBorders/>
            <w:vAlign w:val="center"/>
          </w:tcPr>
          <w:p>
            <w:pPr>
              <w:pStyle w:val="TableContents"/>
              <w:bidi w:val="0"/>
              <w:spacing w:before="0" w:after="283"/>
              <w:jc w:val="left"/>
              <w:rPr>
                <w:sz w:val="4"/>
                <w:szCs w:val="4"/>
              </w:rPr>
            </w:pPr>
            <w:r>
              <w:rPr>
                <w:sz w:val="4"/>
                <w:szCs w:val="4"/>
              </w:rPr>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tcPr>
          <w:p>
            <w:pPr>
              <w:pStyle w:val="TableContents"/>
              <w:bidi w:val="0"/>
              <w:spacing w:before="0" w:after="283"/>
              <w:jc w:val="left"/>
              <w:rPr/>
            </w:pPr>
            <w:r>
              <w:rPr/>
              <w:t>OS1</w:t>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951" w:type="dxa"/>
            <w:tcBorders/>
          </w:tcPr>
          <w:p>
            <w:pPr>
              <w:pStyle w:val="TableContents"/>
              <w:bidi w:val="0"/>
              <w:spacing w:before="0" w:after="283"/>
              <w:jc w:val="left"/>
              <w:rPr/>
            </w:pPr>
            <w:r>
              <w:rPr/>
              <w:t>the number of shares of Common Stock outstanding immediately after the date such tender or exchange offer expires (after giving effect to the purchase of all shares of Common Stock accepted for purchase or exchange in such tender or exchange offer); and</w:t>
            </w:r>
          </w:p>
        </w:tc>
      </w:tr>
      <w:tr>
        <w:trPr>
          <w:trHeight w:val="240" w:hRule="atLeast"/>
        </w:trPr>
        <w:tc>
          <w:tcPr>
            <w:tcW w:w="683" w:type="dxa"/>
            <w:tcBorders/>
            <w:vAlign w:val="center"/>
          </w:tcPr>
          <w:p>
            <w:pPr>
              <w:pStyle w:val="TableContents"/>
              <w:bidi w:val="0"/>
              <w:spacing w:before="0" w:after="283"/>
              <w:jc w:val="left"/>
              <w:rPr>
                <w:sz w:val="4"/>
                <w:szCs w:val="4"/>
              </w:rPr>
            </w:pPr>
            <w:r>
              <w:rPr>
                <w:sz w:val="4"/>
                <w:szCs w:val="4"/>
              </w:rPr>
            </w:r>
          </w:p>
        </w:tc>
        <w:tc>
          <w:tcPr>
            <w:tcW w:w="448" w:type="dxa"/>
            <w:gridSpan w:val="2"/>
            <w:tcBorders/>
            <w:vAlign w:val="center"/>
          </w:tcPr>
          <w:p>
            <w:pPr>
              <w:pStyle w:val="TableContents"/>
              <w:bidi w:val="0"/>
              <w:spacing w:before="0" w:after="283"/>
              <w:jc w:val="left"/>
              <w:rPr>
                <w:sz w:val="4"/>
                <w:szCs w:val="4"/>
              </w:rPr>
            </w:pPr>
            <w:r>
              <w:rPr>
                <w:sz w:val="4"/>
                <w:szCs w:val="4"/>
              </w:rPr>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tcPr>
          <w:p>
            <w:pPr>
              <w:pStyle w:val="TableContents"/>
              <w:bidi w:val="0"/>
              <w:spacing w:before="0" w:after="283"/>
              <w:jc w:val="left"/>
              <w:rPr/>
            </w:pPr>
            <w:r>
              <w:rPr/>
              <w:t>SP1</w:t>
            </w:r>
          </w:p>
        </w:tc>
        <w:tc>
          <w:tcPr>
            <w:tcW w:w="123" w:type="dxa"/>
            <w:tcBorders/>
            <w:vAlign w:val="bottom"/>
          </w:tcPr>
          <w:p>
            <w:pPr>
              <w:pStyle w:val="TableContents"/>
              <w:bidi w:val="0"/>
              <w:spacing w:before="0" w:after="283"/>
              <w:jc w:val="left"/>
              <w:rPr/>
            </w:pPr>
            <w:r>
              <w:rPr/>
              <w:t>  </w:t>
            </w:r>
          </w:p>
        </w:tc>
        <w:tc>
          <w:tcPr>
            <w:tcW w:w="325" w:type="dxa"/>
            <w:tcBorders/>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8951" w:type="dxa"/>
            <w:tcBorders/>
          </w:tcPr>
          <w:p>
            <w:pPr>
              <w:pStyle w:val="TableContents"/>
              <w:bidi w:val="0"/>
              <w:spacing w:before="0" w:after="283"/>
              <w:jc w:val="left"/>
              <w:rPr/>
            </w:pPr>
            <w:r>
              <w:rPr/>
              <w:t>the average of the Last Reported Sale Prices of the Common Stock over the 10 consecutive Trading Day period commencing on, and including, the Trading Day next succeeding the date such tender or exchange offer expires.</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to the Conversion Rate under this Section 14.04(e) shall occur at the close of business on the 10th Trading Day immediately following, and including, the Trading Day next succeeding the date such tender or exchange offer expires; </w:t>
      </w:r>
      <w:r>
        <w:rPr>
          <w:rFonts w:ascii="Times New Roman" w:hAnsi="Times New Roman"/>
          <w:i/>
          <w:sz w:val="20"/>
        </w:rPr>
        <w:t>provided</w:t>
      </w:r>
      <w:r>
        <w:rPr>
          <w:rFonts w:ascii="Times New Roman" w:hAnsi="Times New Roman"/>
          <w:sz w:val="20"/>
        </w:rPr>
        <w:t xml:space="preserve"> that (x) in respect of any conversion of Notes for which Physical Settlement is applicable, if the relevant Conversion Date occurs during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expiration date of such tender or exchange offer to, and including, such Trading Day in determining the Conversion Rate as of such Trading Day of such Observation Period.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or one of its Subsidiaries is obligated to purchase shares of Common Stock pursuant to any such tender or exchange offer described in this Section 14.04(e) but the Company or such Subsidiary is permanently prevented by applicable law from effecting any such purchase or all such purchases are rescinded, the Conversion Rate shall be readjusted to be the Conversion Rate that would then be in effect if such tender or exchange offer had not been made or had been made only in respect of the purchases that have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Notwithstanding this Section 14.04 or any other provision of this Indenture or the Notes, if a Conversion Rate adjustment becomes effective on any Ex-Dividend Date, and a Holder that has converted its Notes on or after such Ex-Dividend Date and on or prior to the related Record Date would be treated as the record holder of the shares of Common Stock as of the related Conversion Date as described under Section 14.02(i) based on an adjusted Conversion Rate for such Ex-Dividend Date, then, notwithstanding the Conversion Rate adjustment provisions in this Section 14.04, the Conversion Rate adjustment relating to such Ex-Dividend Date shall not be made for such converting Holder. Instead, such Holder shall be treated as if such Holder were the record owner of the shares of Common Stock on an unadjusted basis and participate in the related dividend, distribution or other event giving rise to such adjustment. </w:t>
      </w:r>
    </w:p>
    <w:p>
      <w:pPr>
        <w:pStyle w:val="TextBody"/>
        <w:bidi w:val="0"/>
        <w:spacing w:before="120" w:after="0"/>
        <w:jc w:val="left"/>
        <w:rPr>
          <w:rFonts w:ascii="Times New Roman" w:hAnsi="Times New Roman"/>
          <w:sz w:val="20"/>
        </w:rPr>
      </w:pPr>
      <w:r>
        <w:rPr>
          <w:rFonts w:ascii="Times New Roman" w:hAnsi="Times New Roman"/>
          <w:sz w:val="20"/>
        </w:rPr>
        <w:t xml:space="preserve">(g) 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(h) In addition to those adjustments required by clauses (a), (b), (c), (d) and (e) of this Section 14.04, and subject to applicable exchange listing rules, the Company from time to time may increase the Conversion Rate by any amount for a period of at least 20 Business Days if the Company determines that such increase would be in the Company’s best interest. In addition, subject to applicable exchange listing rules, the Company may (but is not required to) increase the Conversion Rate to avoid or diminish any income tax to holders of Common Stock or rights to purchase shares of Common Stock in connection with a dividend or distribution of shares of Common Stock (or rights to acquire shares of Common Stock) or similar event. </w:t>
      </w:r>
    </w:p>
    <w:p>
      <w:pPr>
        <w:pStyle w:val="TextBody"/>
        <w:bidi w:val="0"/>
        <w:spacing w:before="120" w:after="0"/>
        <w:jc w:val="left"/>
        <w:rPr>
          <w:rFonts w:ascii="Times New Roman" w:hAnsi="Times New Roman"/>
          <w:sz w:val="20"/>
        </w:rPr>
      </w:pPr>
      <w:r>
        <w:rPr>
          <w:rFonts w:ascii="Times New Roman" w:hAnsi="Times New Roman"/>
          <w:sz w:val="20"/>
        </w:rPr>
        <w:t xml:space="preserve">(i) Notwithstanding anything to the contrary in this Article 14, the Conversion Rate shall not be adjusted: </w:t>
      </w:r>
    </w:p>
    <w:p>
      <w:pPr>
        <w:pStyle w:val="TextBody"/>
        <w:bidi w:val="0"/>
        <w:spacing w:before="120" w:after="0"/>
        <w:jc w:val="left"/>
        <w:rPr>
          <w:rFonts w:ascii="Times New Roman" w:hAnsi="Times New Roman"/>
          <w:sz w:val="20"/>
        </w:rPr>
      </w:pPr>
      <w:r>
        <w:rPr>
          <w:rFonts w:ascii="Times New Roman" w:hAnsi="Times New Roman"/>
          <w:sz w:val="20"/>
        </w:rPr>
        <w:t xml:space="preserve">(i) upon the issuance of any shares of Common Stock at a price below the Conversion Price or otherwise, other than any such issuance described in clause (a), (b) or (c) of this Section 14.04; </w:t>
      </w:r>
    </w:p>
    <w:p>
      <w:pPr>
        <w:pStyle w:val="TextBody"/>
        <w:bidi w:val="0"/>
        <w:spacing w:before="120" w:after="0"/>
        <w:jc w:val="left"/>
        <w:rPr>
          <w:rFonts w:ascii="Times New Roman" w:hAnsi="Times New Roman"/>
          <w:sz w:val="20"/>
        </w:rPr>
      </w:pPr>
      <w:r>
        <w:rPr>
          <w:rFonts w:ascii="Times New Roman" w:hAnsi="Times New Roman"/>
          <w:sz w:val="20"/>
        </w:rPr>
        <w:t xml:space="preserve">(ii) upon the issuance of any shares of Common Stock pursuant to any present or future plan providing for the reinvestment of dividends or interest payable on the Company’s securities and the investment of additional optional amounts in shares of Common Stock under any plan; </w:t>
      </w:r>
    </w:p>
    <w:p>
      <w:pPr>
        <w:pStyle w:val="TextBody"/>
        <w:bidi w:val="0"/>
        <w:spacing w:before="120" w:after="0"/>
        <w:jc w:val="left"/>
        <w:rPr>
          <w:rFonts w:ascii="Times New Roman" w:hAnsi="Times New Roman"/>
          <w:sz w:val="20"/>
        </w:rPr>
      </w:pPr>
      <w:r>
        <w:rPr>
          <w:rFonts w:ascii="Times New Roman" w:hAnsi="Times New Roman"/>
          <w:sz w:val="20"/>
        </w:rPr>
        <w:t xml:space="preserve">(iii) upon the issuance of any shares of Common Stock or options or rights to purchase those shares pursuant to any present or future employee, director or consultant benefit or incentive plan or program (including pursuant to any evergreen plan) of or assumed by the Company or any of the Company’s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(iv) upon the issuance of any shares of the Common Stock pursuant to any option, warrant, right or exercisable, exchangeable or convertible security not described in clause (iii) of Section 14.04(g)(iv) and outstanding as of the date the Notes were first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for a third-party tender offer by any party other than a tender offer by one or more of the Company’s Subsidiaries as described in clause (e) of this Section 14.04; </w:t>
      </w:r>
    </w:p>
    <w:p>
      <w:pPr>
        <w:pStyle w:val="TextBody"/>
        <w:bidi w:val="0"/>
        <w:spacing w:before="120" w:after="0"/>
        <w:jc w:val="left"/>
        <w:rPr>
          <w:rFonts w:ascii="Times New Roman" w:hAnsi="Times New Roman"/>
          <w:sz w:val="20"/>
        </w:rPr>
      </w:pPr>
      <w:r>
        <w:rPr>
          <w:rFonts w:ascii="Times New Roman" w:hAnsi="Times New Roman"/>
          <w:sz w:val="20"/>
        </w:rPr>
        <w:t xml:space="preserve">(vi) upon the repurchase of any shares of Common Stock pursuant to an open market share purchase program or other buy-back transaction, including structured or derivative transactions such as accelerated share repurchase transactions or similar forward derivatives, or other buy-back transaction, that is not a tender offer or exchange offer of the kind described under clause (e) of this Section 14.04; </w:t>
      </w:r>
    </w:p>
    <w:p>
      <w:pPr>
        <w:pStyle w:val="TextBody"/>
        <w:bidi w:val="0"/>
        <w:spacing w:before="120" w:after="0"/>
        <w:jc w:val="left"/>
        <w:rPr>
          <w:rFonts w:ascii="Times New Roman" w:hAnsi="Times New Roman"/>
          <w:sz w:val="20"/>
        </w:rPr>
      </w:pPr>
      <w:r>
        <w:rPr>
          <w:rFonts w:ascii="Times New Roman" w:hAnsi="Times New Roman"/>
          <w:sz w:val="20"/>
        </w:rPr>
        <w:t xml:space="preserve">(vii) solely for a change in the par value (or lack of par value) of the Common Stock; or </w:t>
      </w:r>
    </w:p>
    <w:p>
      <w:pPr>
        <w:pStyle w:val="TextBody"/>
        <w:bidi w:val="0"/>
        <w:spacing w:before="120" w:after="0"/>
        <w:jc w:val="left"/>
        <w:rPr>
          <w:rFonts w:ascii="Times New Roman" w:hAnsi="Times New Roman"/>
          <w:sz w:val="20"/>
        </w:rPr>
      </w:pPr>
      <w:r>
        <w:rPr>
          <w:rFonts w:ascii="Times New Roman" w:hAnsi="Times New Roman"/>
          <w:sz w:val="20"/>
        </w:rPr>
        <w:t xml:space="preserve">(viii) for accrued and unpaid interest, if any. </w:t>
      </w:r>
    </w:p>
    <w:p>
      <w:pPr>
        <w:pStyle w:val="TextBody"/>
        <w:bidi w:val="0"/>
        <w:spacing w:before="120" w:after="0"/>
        <w:jc w:val="left"/>
        <w:rPr>
          <w:rFonts w:ascii="Times New Roman" w:hAnsi="Times New Roman"/>
          <w:sz w:val="20"/>
        </w:rPr>
      </w:pPr>
      <w:r>
        <w:rPr>
          <w:rFonts w:ascii="Times New Roman" w:hAnsi="Times New Roman"/>
          <w:sz w:val="20"/>
        </w:rPr>
        <w:t xml:space="preserve">(j) All calculations and other determinations under this Article 14 shall be made by the Company and shall be made to the nearest one-ten thousandth (1/10,000th) of a share. </w:t>
      </w:r>
    </w:p>
    <w:p>
      <w:pPr>
        <w:pStyle w:val="TextBody"/>
        <w:bidi w:val="0"/>
        <w:spacing w:before="120" w:after="0"/>
        <w:jc w:val="left"/>
        <w:rPr>
          <w:rFonts w:ascii="Times New Roman" w:hAnsi="Times New Roman"/>
          <w:sz w:val="20"/>
        </w:rPr>
      </w:pPr>
      <w:r>
        <w:rPr>
          <w:rFonts w:ascii="Times New Roman" w:hAnsi="Times New Roman"/>
          <w:sz w:val="20"/>
        </w:rPr>
        <w:t>(k) If an adjustment to the Conversion Rate otherwise required by this Section 14.04 would result in a change of less than 1% to the Conversion Rate, then, notwithstanding the foregoing, the Company may, at its election, defer and carry forward such adjustment, except that all such deferred adjustments must be given effect immediately upon the earliest to occur of the following: (i) when all such deferred adjustments would result in an aggregate change of at least 1% to the Conversion Rate, (ii) on the Conversion Date for any Notes (in the case of Physical Settlement), (iii) on each Trading Day of any Observation Period related to any conversion of Notes (in the case of Cash Settlement or Combination Settlement), (iv) March 15, 2032, (v) on any date on which the Company delivers a Notice of Redemption and (vi) on the effective date of any Fundamental Change and/or Make-Whole Fundamental Change, in each case, unless the adjustment has already been made. The provisions described in the preceding sentence are referred to herein as the “</w:t>
      </w:r>
      <w:r>
        <w:rPr>
          <w:rFonts w:ascii="Times New Roman" w:hAnsi="Times New Roman"/>
          <w:b/>
          <w:sz w:val="20"/>
        </w:rPr>
        <w:t>1% Exception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(l) 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and Conversion Agent (if other than the Trustee) shall have received such Officer’s Certificate, the Trustee and Conversion Agent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For purposes of this Section 14.04,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 </w:t>
      </w:r>
    </w:p>
    <w:p>
      <w:pPr>
        <w:pStyle w:val="TextBody"/>
        <w:bidi w:val="0"/>
        <w:spacing w:before="240" w:after="0"/>
        <w:jc w:val="left"/>
        <w:rPr>
          <w:rFonts w:ascii="Times New Roman" w:hAnsi="Times New Roman"/>
          <w:sz w:val="20"/>
        </w:rPr>
      </w:pPr>
      <w:r>
        <w:rPr>
          <w:rFonts w:ascii="Times New Roman" w:hAnsi="Times New Roman"/>
          <w:sz w:val="20"/>
        </w:rPr>
        <w:t>Section 14.05</w:t>
      </w:r>
      <w:r>
        <w:rPr>
          <w:rFonts w:ascii="Times New Roman" w:hAnsi="Times New Roman"/>
          <w:i/>
          <w:sz w:val="20"/>
        </w:rPr>
        <w:t>. Adjustments of Prices</w:t>
      </w:r>
      <w:r>
        <w:rPr>
          <w:rFonts w:ascii="Times New Roman" w:hAnsi="Times New Roman"/>
          <w:sz w:val="20"/>
        </w:rPr>
        <w:t xml:space="preserve">. Whenever any provision of this Indenture requires the Company to calculate the Last Reported Sale Prices, the Daily VWAPs, the Daily Conversion Values or the Daily Settlement Amounts over a span of multiple days (including, without limitation, an Observation Period and the period, if any, for determining the Stock Price for purposes of a Make-Whole Fundamental Change or a Notice of Redemption), the Company shall, in good faith, make appropriate adjustments (without duplication in respect of any adjustment made pursuant to Section 14.04) to each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Prices, the Daily VWAPs, the Daily Conversion Values or the Daily Settlement Amounts are to be calculated. </w:t>
      </w:r>
    </w:p>
    <w:p>
      <w:pPr>
        <w:pStyle w:val="TextBody"/>
        <w:bidi w:val="0"/>
        <w:spacing w:before="240" w:after="0"/>
        <w:jc w:val="left"/>
        <w:rPr>
          <w:rFonts w:ascii="Times New Roman" w:hAnsi="Times New Roman"/>
          <w:sz w:val="20"/>
        </w:rPr>
      </w:pPr>
      <w:r>
        <w:rPr>
          <w:rFonts w:ascii="Times New Roman" w:hAnsi="Times New Roman"/>
          <w:sz w:val="20"/>
        </w:rPr>
        <w:t>Section 14.06</w:t>
      </w:r>
      <w:r>
        <w:rPr>
          <w:rFonts w:ascii="Times New Roman" w:hAnsi="Times New Roman"/>
          <w:i/>
          <w:sz w:val="20"/>
        </w:rPr>
        <w:t>. Shares to Be Fully Paid</w:t>
      </w:r>
      <w:r>
        <w:rPr>
          <w:rFonts w:ascii="Times New Roman" w:hAnsi="Times New Roman"/>
          <w:sz w:val="20"/>
        </w:rPr>
        <w:t xml:space="preserve">. The Company shall at all times reserve, free from preemptive rights, out of its authorized but unissued shares or shares held in treasury, a number of shares of Common Stock equal to the product of (a) the number of outstanding Notes and (b) the Conversion Rate (assuming the Conversion Rate has been increased by the maximum number of Additional Shares pursuant to Section 14.03), to provide for conversion of the Notes from time to time as such Notes are presented for conversion. </w:t>
      </w:r>
    </w:p>
    <w:p>
      <w:pPr>
        <w:pStyle w:val="TextBody"/>
        <w:bidi w:val="0"/>
        <w:spacing w:before="240" w:after="0"/>
        <w:jc w:val="left"/>
        <w:rPr>
          <w:rFonts w:ascii="Times New Roman" w:hAnsi="Times New Roman"/>
          <w:sz w:val="20"/>
        </w:rPr>
      </w:pPr>
      <w:r>
        <w:rPr>
          <w:rFonts w:ascii="Times New Roman" w:hAnsi="Times New Roman"/>
          <w:sz w:val="20"/>
        </w:rPr>
        <w:t>Section 14.07</w:t>
      </w:r>
      <w:r>
        <w:rPr>
          <w:rFonts w:ascii="Times New Roman" w:hAnsi="Times New Roman"/>
          <w:i/>
          <w:sz w:val="20"/>
        </w:rPr>
        <w:t>. Effect of Recapitalizations, Reclassifications and Changes of the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w:t>
      </w:r>
    </w:p>
    <w:p>
      <w:pPr>
        <w:pStyle w:val="TextBody"/>
        <w:bidi w:val="0"/>
        <w:spacing w:before="120" w:after="0"/>
        <w:jc w:val="left"/>
        <w:rPr>
          <w:rFonts w:ascii="Times New Roman" w:hAnsi="Times New Roman"/>
          <w:sz w:val="20"/>
        </w:rPr>
      </w:pPr>
      <w:r>
        <w:rPr>
          <w:rFonts w:ascii="Times New Roman" w:hAnsi="Times New Roman"/>
          <w:sz w:val="20"/>
        </w:rPr>
        <w:t xml:space="preserve">(i) any recapitalization, reclassification or change of the Common Stock (other than a change to par value, or from par value to no par value, or changes resulting from a subdivision or combination); </w:t>
      </w:r>
    </w:p>
    <w:p>
      <w:pPr>
        <w:pStyle w:val="TextBody"/>
        <w:bidi w:val="0"/>
        <w:spacing w:before="120" w:after="0"/>
        <w:jc w:val="left"/>
        <w:rPr>
          <w:rFonts w:ascii="Times New Roman" w:hAnsi="Times New Roman"/>
          <w:sz w:val="20"/>
        </w:rPr>
      </w:pPr>
      <w:r>
        <w:rPr>
          <w:rFonts w:ascii="Times New Roman" w:hAnsi="Times New Roman"/>
          <w:sz w:val="20"/>
        </w:rPr>
        <w:t xml:space="preserve">(ii) any consolidation, merger, combination or similar transaction involving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any sale, lease or other transfer to a third party of the consolidated assets of the Company and the Company’s Subsidiaries substantially as an entirety; or </w:t>
      </w:r>
    </w:p>
    <w:p>
      <w:pPr>
        <w:pStyle w:val="TextBody"/>
        <w:bidi w:val="0"/>
        <w:spacing w:before="120" w:after="0"/>
        <w:jc w:val="left"/>
        <w:rPr>
          <w:rFonts w:ascii="Times New Roman" w:hAnsi="Times New Roman"/>
          <w:sz w:val="20"/>
        </w:rPr>
      </w:pPr>
      <w:r>
        <w:rPr>
          <w:rFonts w:ascii="Times New Roman" w:hAnsi="Times New Roman"/>
          <w:sz w:val="20"/>
        </w:rPr>
        <w:t xml:space="preserve">(iv) any statutory share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each case, as a result of which the Common Stock would be converted into, or exchanged for, stock, other securities, other property or assets (including cash or any combination thereof) (any such event, a “</w:t>
      </w:r>
      <w:r>
        <w:rPr>
          <w:rFonts w:ascii="Times New Roman" w:hAnsi="Times New Roman"/>
          <w:b/>
          <w:sz w:val="20"/>
        </w:rPr>
        <w:t>Share Exchange Event</w:t>
      </w:r>
      <w:r>
        <w:rPr>
          <w:rFonts w:ascii="Times New Roman" w:hAnsi="Times New Roman"/>
          <w:sz w:val="20"/>
        </w:rPr>
        <w:t>”), then, at and after the effective time of such Share Exchange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such Share Exchange Event would have owned or been entitled to receive (the “</w:t>
      </w:r>
      <w:r>
        <w:rPr>
          <w:rFonts w:ascii="Times New Roman" w:hAnsi="Times New Roman"/>
          <w:b/>
          <w:sz w:val="20"/>
        </w:rPr>
        <w:t>Reference Property</w:t>
      </w:r>
      <w:r>
        <w:rPr>
          <w:rFonts w:ascii="Times New Roman" w:hAnsi="Times New Roman"/>
          <w:sz w:val="20"/>
        </w:rPr>
        <w:t>,” with each “</w:t>
      </w:r>
      <w:r>
        <w:rPr>
          <w:rFonts w:ascii="Times New Roman" w:hAnsi="Times New Roman"/>
          <w:b/>
          <w:sz w:val="20"/>
        </w:rPr>
        <w:t>unit of Reference Property</w:t>
      </w:r>
      <w:r>
        <w:rPr>
          <w:rFonts w:ascii="Times New Roman" w:hAnsi="Times New Roman"/>
          <w:sz w:val="20"/>
        </w:rPr>
        <w:t xml:space="preserve">” meaning the kind and amount of Reference Property that a holder of one share of Common Stock is entitled to receive) upon such Share Exchange Event and, prior to or at the effective time of such Share Exchange Event, the Company or the successor or acquiring Person, as the case may be, shall execute with the Trustee a supplemental indenture permitted under Section 10.01(g) providing for such change in the right to convert each $1,000 principal amount of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and after the effective time of the Share Exchange Event (A) the Company or the successor or acquiring Person, as the case may be, shall continue to have the right to determine the form of consideration to be paid or delivered, as the case may be, upon conversion of Notes in accordance with Section 14.02 and (B) (I) any amount payable in cash upon conversion of the Notes in accordance with Section 14.02 shall continue to be payable in cash, (II) any shares of Common Stock that the Company would have been required to deliver upon conversion of the Notes in accordance with Section 14.02 shall instead be deliverable in the amount and type of Reference Property that a holder of that number of shares of Common Stock would have received in such Share Exchange Event and (III) the Daily VWAP shall be calculated based on the value of a unit of Reference Property that a holder of one share of Common Stock would have received in such Share Exchange Event. </w:t>
      </w:r>
    </w:p>
    <w:p>
      <w:pPr>
        <w:pStyle w:val="TextBody"/>
        <w:bidi w:val="0"/>
        <w:spacing w:before="240" w:after="0"/>
        <w:jc w:val="left"/>
        <w:rPr>
          <w:rFonts w:ascii="Times New Roman" w:hAnsi="Times New Roman"/>
          <w:sz w:val="20"/>
        </w:rPr>
      </w:pPr>
      <w:r>
        <w:rPr>
          <w:rFonts w:ascii="Times New Roman" w:hAnsi="Times New Roman"/>
          <w:sz w:val="20"/>
        </w:rPr>
        <w:t xml:space="preserve">If the Share Exchange Event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actually received by the holders of Common Stock, and (ii) the unit of Reference Property for purposes of the immediately preceding paragraph shall refer to the consideration referred to in clause (i) attributable to one share of Common Stock. If the holders of the Common Stock receive only cash in such Share Exchange Event, then for all conversions for which the relevant Conversion Date occurs after the effective date of such Share Exchange Event (A) the consideration due upon conversion of each $1,000 principal amount of Notes shall be solely cash in an amount equal to the Conversion Rate in effect on the Conversion Date (as may be increased by any Additional Shares pursuant to Section 14.03), </w:t>
      </w:r>
      <w:r>
        <w:rPr>
          <w:rFonts w:ascii="Times New Roman" w:hAnsi="Times New Roman"/>
          <w:i/>
          <w:sz w:val="20"/>
        </w:rPr>
        <w:t>multiplied</w:t>
      </w:r>
      <w:r>
        <w:rPr>
          <w:rFonts w:ascii="Times New Roman" w:hAnsi="Times New Roman"/>
          <w:sz w:val="20"/>
        </w:rPr>
        <w:t xml:space="preserve"> by the price paid per share of Common Stock in such Share Exchange Event and (B) the Company shall satisfy the Conversion Obligation by paying cash to converting Holders on the fifth Business Day immediately following the relevant Conversion Date. The Company shall notify Holders, the Trustee and the Conversion Agent (if other than the Trustee) in writing of such weighted average as soon as practicable after such determination is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Reference Property in respect of any such Share Exchange Event includes, in whole or in part, shares of Common Equity or American depositary receipts (or other interests) in respect thereof, such supplemental indenture described in the second immediately preceding paragraph shall provide for anti-dilution and other adjustments that shall be as nearly equivalent as is possible to the adjustments provided for in this Article 14 with respect to the portion of the Reference Property consisting of such Common Equity or American depositary receipts (or other interests) in respect thereof. If, in the case of any Share Exchange Event, the Reference Property includes shares of stock, securities or other property or assets (including any combination thereof), other than cash and/or cash equivalents, of a Person other than the Company or the successor or acquiring Person, as the case may be, in such Share Exchange Event, then such supplemental indenture shall also be executed by such other Person, if such Person is an Affiliate of the Company or the successor or acquiring Person, and shall contain such additional provisions to protect the interests of the Holders as the Company shall in good faith reasonably consider necessary by reason of the foregoing, including the provisions providing for the purchase rights set forth in Article 15. </w:t>
      </w:r>
    </w:p>
    <w:p>
      <w:pPr>
        <w:pStyle w:val="TextBody"/>
        <w:bidi w:val="0"/>
        <w:spacing w:before="120" w:after="0"/>
        <w:jc w:val="left"/>
        <w:rPr>
          <w:rFonts w:ascii="Times New Roman" w:hAnsi="Times New Roman"/>
          <w:sz w:val="20"/>
        </w:rPr>
      </w:pPr>
      <w:r>
        <w:rPr>
          <w:rFonts w:ascii="Times New Roman" w:hAnsi="Times New Roman"/>
          <w:sz w:val="20"/>
        </w:rPr>
        <w:t xml:space="preserve">(b) When the Company executes a supplemental indenture pursuant to Section 14.07(a), the Company shall promptly file with the Trustee an Officer’s Certificate briefly stating the reasons therefor, the kind or amount of cash, securities or property or asset that will comprise a unit of Reference Property after any such Share Exchange Event, any adjustment to be made with respect thereto and that all conditions precedent have been complied with and an Opinion of Counsel stating that all conditions precedent have been complied with, and shall promptly deliver or cause to be delivered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(c) The Company shall not become a party to any Share Exchange Event unless its terms are consistent with this Section 14.07. None of the foregoing provisions shall affect the right of a Holder of Notes to convert its Notes into cash, shares of Common Stock or a combination of cash and shares of Common Stock, as applicable, as set forth in Section 14.01 and Section 14.02 prior to the effective date of such Share Exchange Event. </w:t>
      </w:r>
    </w:p>
    <w:p>
      <w:pPr>
        <w:pStyle w:val="TextBody"/>
        <w:bidi w:val="0"/>
        <w:spacing w:before="120" w:after="0"/>
        <w:jc w:val="left"/>
        <w:rPr>
          <w:rFonts w:ascii="Times New Roman" w:hAnsi="Times New Roman"/>
          <w:sz w:val="20"/>
        </w:rPr>
      </w:pPr>
      <w:r>
        <w:rPr>
          <w:rFonts w:ascii="Times New Roman" w:hAnsi="Times New Roman"/>
          <w:sz w:val="20"/>
        </w:rPr>
        <w:t xml:space="preserve">(d) The above provisions of this Section shall similarly apply to successive Share Exchange Events. </w:t>
      </w:r>
    </w:p>
    <w:p>
      <w:pPr>
        <w:pStyle w:val="TextBody"/>
        <w:bidi w:val="0"/>
        <w:spacing w:before="120" w:after="0"/>
        <w:jc w:val="left"/>
        <w:rPr>
          <w:rFonts w:ascii="Times New Roman" w:hAnsi="Times New Roman"/>
          <w:sz w:val="20"/>
        </w:rPr>
      </w:pPr>
      <w:r>
        <w:rPr>
          <w:rFonts w:ascii="Times New Roman" w:hAnsi="Times New Roman"/>
          <w:sz w:val="20"/>
        </w:rPr>
        <w:t>Section 14.08</w:t>
      </w:r>
      <w:r>
        <w:rPr>
          <w:rFonts w:ascii="Times New Roman" w:hAnsi="Times New Roman"/>
          <w:i/>
          <w:sz w:val="20"/>
        </w:rPr>
        <w:t>. Certain 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covenants that all shares of Common Stock issued upon conversion of Notes will be fully paid and non-assessable by the Company and free from all taxes, liens and charges with respect to the issue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covenants that, if any shares of Common Stock to be provided for the purpose of conversion of Notes hereunder require registration with or approval of any governmental authority under any federal or state law before such shares of Common Stock may be validly issued upon conversion, the Company will, to the extent then permitted by the rules and interpretations of the Commission, secure such registration or approval,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(c) The Company further covenants that if at any time the Common Stock shall be listed on any national securities exchange or automated quotation system the Company will list and keep listed, so long as the Common Stock shall be so listed on such exchange or automated quotation system, any Common Stock issuable upon conversion of the Notes. </w:t>
      </w:r>
    </w:p>
    <w:p>
      <w:pPr>
        <w:pStyle w:val="TextBody"/>
        <w:bidi w:val="0"/>
        <w:spacing w:before="240" w:after="0"/>
        <w:jc w:val="left"/>
        <w:rPr>
          <w:rFonts w:ascii="Times New Roman" w:hAnsi="Times New Roman"/>
          <w:sz w:val="20"/>
        </w:rPr>
      </w:pPr>
      <w:r>
        <w:rPr>
          <w:rFonts w:ascii="Times New Roman" w:hAnsi="Times New Roman"/>
          <w:sz w:val="20"/>
        </w:rPr>
        <w:t>Section 14.09</w:t>
      </w:r>
      <w:r>
        <w:rPr>
          <w:rFonts w:ascii="Times New Roman" w:hAnsi="Times New Roman"/>
          <w:i/>
          <w:sz w:val="20"/>
        </w:rPr>
        <w:t>. Responsibility of Trustee</w:t>
      </w:r>
      <w:r>
        <w:rPr>
          <w:rFonts w:ascii="Times New Roman" w:hAnsi="Times New Roman"/>
          <w:sz w:val="20"/>
        </w:rPr>
        <w:t xml:space="preserve">.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 amount of shares of stock or securities or property (including cash) receivable by Holders upon the conversion of their Notes after any event referred to in such Section 14.07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w:t>
      </w:r>
    </w:p>
    <w:p>
      <w:pPr>
        <w:pStyle w:val="TextBody"/>
        <w:bidi w:val="0"/>
        <w:spacing w:before="240" w:after="0"/>
        <w:jc w:val="left"/>
        <w:rPr>
          <w:rFonts w:ascii="Times New Roman" w:hAnsi="Times New Roman"/>
          <w:sz w:val="20"/>
        </w:rPr>
      </w:pPr>
      <w:r>
        <w:rPr>
          <w:rFonts w:ascii="Times New Roman" w:hAnsi="Times New Roman"/>
          <w:sz w:val="20"/>
        </w:rPr>
        <w:t>Section 14.10</w:t>
      </w:r>
      <w:r>
        <w:rPr>
          <w:rFonts w:ascii="Times New Roman" w:hAnsi="Times New Roman"/>
          <w:i/>
          <w:sz w:val="20"/>
        </w:rPr>
        <w:t>. Notice to Holders Prior to Certain Actions.</w:t>
      </w:r>
      <w:r>
        <w:rPr>
          <w:rFonts w:ascii="Times New Roman" w:hAnsi="Times New Roman"/>
          <w:sz w:val="20"/>
        </w:rPr>
        <w:t xml:space="preserve"> In case of any: </w:t>
      </w:r>
    </w:p>
    <w:p>
      <w:pPr>
        <w:pStyle w:val="TextBody"/>
        <w:bidi w:val="0"/>
        <w:spacing w:before="120" w:after="0"/>
        <w:jc w:val="left"/>
        <w:rPr>
          <w:rFonts w:ascii="Times New Roman" w:hAnsi="Times New Roman"/>
          <w:sz w:val="20"/>
        </w:rPr>
      </w:pPr>
      <w:r>
        <w:rPr>
          <w:rFonts w:ascii="Times New Roman" w:hAnsi="Times New Roman"/>
          <w:sz w:val="20"/>
        </w:rPr>
        <w:t xml:space="preserve">(a) action by the Company or one of its Subsidiaries that would require an adjustment in the Conversion Rate pursuant to Section 14.04 or Section 14.11; or </w:t>
      </w:r>
    </w:p>
    <w:p>
      <w:pPr>
        <w:pStyle w:val="TextBody"/>
        <w:bidi w:val="0"/>
        <w:spacing w:before="120" w:after="0"/>
        <w:jc w:val="left"/>
        <w:rPr>
          <w:rFonts w:ascii="Times New Roman" w:hAnsi="Times New Roman"/>
          <w:sz w:val="20"/>
        </w:rPr>
      </w:pPr>
      <w:r>
        <w:rPr>
          <w:rFonts w:ascii="Times New Roman" w:hAnsi="Times New Roman"/>
          <w:sz w:val="20"/>
        </w:rPr>
        <w:t xml:space="preserve">(b) voluntary or involuntary dissolution, liquidation or winding-up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then, in each case (unless notice of such event is otherwise required pursuant to another provision of this Indenture), the Company shall cause to be filed with the Trustee and the Conversion Agent (if other than the Trustee) and to be delivered to each Holder, as promptly as possible but in any event at least 10 days prior to the applicable date hereinafter specified, a notice stating (i) the date on which a record is to be taken for the purpose of such action by the Company or one of its Subsidiaries or, if a record is not to be taken, the date as of which the holders of Common Stock of record are to be determined for the purposes of such action by the Company or one of its Subsidiaries, or (ii) the date on which such dissolution, liquidation or winding-up is expected to become effective or occur, and the date as of which it is expected that holders of Common Stock of record shall be entitled to exchange their Common Stock for securities or other property deliverable upon such dissolution, liquidation or winding-up. Failure to give such notice, or any defect therein, shall not affect the legality or validity of such action by the Company or one of its Subsidiaries, dissolution, liquidation or winding-up. </w:t>
      </w:r>
    </w:p>
    <w:p>
      <w:pPr>
        <w:pStyle w:val="TextBody"/>
        <w:bidi w:val="0"/>
        <w:spacing w:before="240" w:after="0"/>
        <w:jc w:val="left"/>
        <w:rPr>
          <w:rFonts w:ascii="Times New Roman" w:hAnsi="Times New Roman"/>
          <w:sz w:val="20"/>
        </w:rPr>
      </w:pPr>
      <w:r>
        <w:rPr>
          <w:rFonts w:ascii="Times New Roman" w:hAnsi="Times New Roman"/>
          <w:sz w:val="20"/>
        </w:rPr>
        <w:t xml:space="preserve">Section 14.11. </w:t>
      </w:r>
      <w:r>
        <w:rPr>
          <w:rFonts w:ascii="Times New Roman" w:hAnsi="Times New Roman"/>
          <w:i/>
          <w:sz w:val="20"/>
        </w:rPr>
        <w:t>Stockholder Rights Plans</w:t>
      </w:r>
      <w:r>
        <w:rPr>
          <w:rFonts w:ascii="Times New Roman" w:hAnsi="Times New Roman"/>
          <w:sz w:val="20"/>
        </w:rPr>
        <w:t xml:space="preserve">. If the Company has a stockholder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the Conversion Rate shall be adjusted at the time of separation as if the Company distributed to all or substantially all holders of the Common Stock Distributed Property as provided in Section 14.04(c), subject to readjustment in the event of the expiration, termination or redemption of such rights. </w:t>
      </w:r>
    </w:p>
    <w:p>
      <w:pPr>
        <w:pStyle w:val="TextBody"/>
        <w:bidi w:val="0"/>
        <w:spacing w:before="240" w:after="0"/>
        <w:jc w:val="left"/>
        <w:rPr>
          <w:rFonts w:ascii="Times New Roman" w:hAnsi="Times New Roman"/>
          <w:sz w:val="20"/>
        </w:rPr>
      </w:pPr>
      <w:r>
        <w:rPr>
          <w:rFonts w:ascii="Times New Roman" w:hAnsi="Times New Roman"/>
          <w:sz w:val="20"/>
        </w:rPr>
        <w:t>Section 14.12</w:t>
      </w:r>
      <w:r>
        <w:rPr>
          <w:rFonts w:ascii="Times New Roman" w:hAnsi="Times New Roman"/>
          <w:i/>
          <w:sz w:val="20"/>
        </w:rPr>
        <w:t>. Exchange in Lieu of Conversion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When a Holder surrenders any Notes for conversion, the Company may, at its election (an “</w:t>
      </w:r>
      <w:r>
        <w:rPr>
          <w:rFonts w:ascii="Times New Roman" w:hAnsi="Times New Roman"/>
          <w:b/>
          <w:sz w:val="20"/>
        </w:rPr>
        <w:t>Exchange Election</w:t>
      </w:r>
      <w:r>
        <w:rPr>
          <w:rFonts w:ascii="Times New Roman" w:hAnsi="Times New Roman"/>
          <w:sz w:val="20"/>
        </w:rPr>
        <w:t>”), direct the Conversion Agent to deliver, on or prior to the Trading Day immediately following the Conversion Date, such Notes to one or more financial institutions designated by the Company (each, a “</w:t>
      </w:r>
      <w:r>
        <w:rPr>
          <w:rFonts w:ascii="Times New Roman" w:hAnsi="Times New Roman"/>
          <w:b/>
          <w:sz w:val="20"/>
        </w:rPr>
        <w:t>Designated Financial Institution</w:t>
      </w:r>
      <w:r>
        <w:rPr>
          <w:rFonts w:ascii="Times New Roman" w:hAnsi="Times New Roman"/>
          <w:sz w:val="20"/>
        </w:rPr>
        <w:t>”) for exchange in lieu of conversion. In order to accept any Notes surrendered for conversion, the Designated Financial Institution(s) must agree to timely pay and/or deliver, as the case may be, in exchange for such Notes, the cash, shares of Common Stock or combination thereof that would otherwise be due upon conversion pursuant to Section 14.02 or such other amount agreed to by the Holder and the Designated Financial Institution(s) (the “</w:t>
      </w:r>
      <w:r>
        <w:rPr>
          <w:rFonts w:ascii="Times New Roman" w:hAnsi="Times New Roman"/>
          <w:b/>
          <w:sz w:val="20"/>
        </w:rPr>
        <w:t>Conversion Consideration</w:t>
      </w:r>
      <w:r>
        <w:rPr>
          <w:rFonts w:ascii="Times New Roman" w:hAnsi="Times New Roman"/>
          <w:sz w:val="20"/>
        </w:rPr>
        <w:t xml:space="preserve">”). If the Company makes an Exchange Election, the Company shall, by the close of business on the Trading Day following the relevant Conversion Date, notify in writing the Trustee, the Conversion Agent (if other than the Trustee) and the Holder surrendering its Notes for conversion that the Company has made the Exchange Election, and the Company shall promptly notify the Designated Financial Institution(s) of the relevant deadline for delivery of the Conversion Consideration and the type of Conversion Consideration to be paid and/or delivered,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Notes delivered to the Designated Financial Institution(s) shall remain outstanding, subject to the applicable procedures of the Depositary. If the Designated Financial Institution(s) agree(s) to accept any Notes for exchange but does not timely pay and/or deliver, as the case may be, the related Conversion Consideration, or if such Designated Financial Institution(s) does not accept the Notes for exchange, the Company shall pay and/or deliver, as the case may be, the relevant Conversion Consideration, as, and at the time, required pursuant to this Indenture as if the Company had not made the Exchange Election. </w:t>
      </w:r>
    </w:p>
    <w:p>
      <w:pPr>
        <w:pStyle w:val="TextBody"/>
        <w:bidi w:val="0"/>
        <w:spacing w:before="120" w:after="0"/>
        <w:jc w:val="left"/>
        <w:rPr>
          <w:rFonts w:ascii="Times New Roman" w:hAnsi="Times New Roman"/>
          <w:sz w:val="20"/>
        </w:rPr>
      </w:pPr>
      <w:r>
        <w:rPr>
          <w:rFonts w:ascii="Times New Roman" w:hAnsi="Times New Roman"/>
          <w:sz w:val="20"/>
        </w:rPr>
        <w:t xml:space="preserve">(c) The Company’s designation of any Designated Financial Institution(s) to which the Notes may be submitted for exchange does not require such Designated Financial Institution(s) to accept any Notes. </w:t>
      </w:r>
    </w:p>
    <w:p>
      <w:pPr>
        <w:pStyle w:val="TextBody"/>
        <w:bidi w:val="0"/>
        <w:spacing w:before="480" w:after="0"/>
        <w:jc w:val="center"/>
        <w:rPr>
          <w:rFonts w:ascii="Times New Roman" w:hAnsi="Times New Roman"/>
          <w:sz w:val="20"/>
        </w:rPr>
      </w:pPr>
      <w:r>
        <w:rPr>
          <w:rFonts w:ascii="Times New Roman" w:hAnsi="Times New Roman"/>
          <w:sz w:val="20"/>
        </w:rPr>
        <w:t xml:space="preserve">ARTICLE 15 </w:t>
      </w:r>
    </w:p>
    <w:p>
      <w:pPr>
        <w:pStyle w:val="TextBody"/>
        <w:bidi w:val="0"/>
        <w:spacing w:before="0" w:after="0"/>
        <w:jc w:val="center"/>
        <w:rPr>
          <w:rFonts w:ascii="Times New Roman" w:hAnsi="Times New Roman"/>
          <w:sz w:val="20"/>
        </w:rPr>
      </w:pPr>
      <w:r>
        <w:rPr>
          <w:rFonts w:ascii="Times New Roman" w:hAnsi="Times New Roman"/>
          <w:sz w:val="20"/>
        </w:rPr>
        <w:t xml:space="preserve">REPURCHASE OF NOTES AT OPTION OF HOLDERS </w:t>
      </w:r>
    </w:p>
    <w:p>
      <w:pPr>
        <w:pStyle w:val="TextBody"/>
        <w:bidi w:val="0"/>
        <w:spacing w:before="240" w:after="0"/>
        <w:jc w:val="left"/>
        <w:rPr>
          <w:rFonts w:ascii="Times New Roman" w:hAnsi="Times New Roman"/>
          <w:sz w:val="20"/>
        </w:rPr>
      </w:pPr>
      <w:r>
        <w:rPr>
          <w:rFonts w:ascii="Times New Roman" w:hAnsi="Times New Roman"/>
          <w:sz w:val="20"/>
        </w:rPr>
        <w:t>Section 15.01</w:t>
      </w:r>
      <w:r>
        <w:rPr>
          <w:rFonts w:ascii="Times New Roman" w:hAnsi="Times New Roman"/>
          <w:i/>
          <w:sz w:val="20"/>
        </w:rPr>
        <w:t xml:space="preserve">. </w:t>
      </w:r>
      <w:r>
        <w:rPr>
          <w:rFonts w:ascii="Times New Roman" w:hAnsi="Times New Roman"/>
          <w:sz w:val="20"/>
        </w:rPr>
        <w:t>[</w:t>
      </w:r>
      <w:r>
        <w:rPr>
          <w:rFonts w:ascii="Times New Roman" w:hAnsi="Times New Roman"/>
          <w:i/>
          <w:sz w:val="20"/>
        </w:rPr>
        <w:t>Reserved</w:t>
      </w: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sz w:val="20"/>
        </w:rPr>
        <w:t>Section 15.02</w:t>
      </w:r>
      <w:r>
        <w:rPr>
          <w:rFonts w:ascii="Times New Roman" w:hAnsi="Times New Roman"/>
          <w:i/>
          <w:sz w:val="20"/>
        </w:rPr>
        <w:t>. Repurchase</w:t>
      </w:r>
      <w:r>
        <w:rPr>
          <w:rFonts w:ascii="Times New Roman" w:hAnsi="Times New Roman"/>
          <w:sz w:val="20"/>
        </w:rPr>
        <w:t xml:space="preserve"> </w:t>
      </w:r>
      <w:r>
        <w:rPr>
          <w:rFonts w:ascii="Times New Roman" w:hAnsi="Times New Roman"/>
          <w:i/>
          <w:sz w:val="20"/>
        </w:rPr>
        <w:t>at Option of Holders Upon a Fundamental 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Subject to Section 15.02(f), if a Fundamental Change occurs at any time, each Holder shall have the right, at such Holder’s option, to require the Company to repurchase for cash all of such Holder’s Notes, or any portion of the principal amount thereof properly surrendered and not validly withdrawn pursuant to Section 15.03 that is equal to $1,000 or an integral multiple of $1,000, on the date (the “</w:t>
      </w:r>
      <w:r>
        <w:rPr>
          <w:rFonts w:ascii="Times New Roman" w:hAnsi="Times New Roman"/>
          <w:b/>
          <w:sz w:val="20"/>
        </w:rPr>
        <w:t>Fundamental Change Repurchase Date</w:t>
      </w:r>
      <w:r>
        <w:rPr>
          <w:rFonts w:ascii="Times New Roman" w:hAnsi="Times New Roman"/>
          <w:sz w:val="20"/>
        </w:rPr>
        <w:t xml:space="preserve">”) specified by the Company that is not less than 40 Business Days or more than 55 Business Days following the date of the Fundamental Change Company Notice at a repurchase price equal to 100% of the principal amount thereof, </w:t>
      </w:r>
      <w:r>
        <w:rPr>
          <w:rFonts w:ascii="Times New Roman" w:hAnsi="Times New Roman"/>
          <w:i/>
          <w:sz w:val="20"/>
        </w:rPr>
        <w:t>plus</w:t>
      </w:r>
      <w:r>
        <w:rPr>
          <w:rFonts w:ascii="Times New Roman" w:hAnsi="Times New Roman"/>
          <w:sz w:val="20"/>
        </w:rPr>
        <w:t xml:space="preserve"> accrued and unpaid interest thereon to, but excluding, the Fundamental Change Repurchase Date (the “</w:t>
      </w:r>
      <w:r>
        <w:rPr>
          <w:rFonts w:ascii="Times New Roman" w:hAnsi="Times New Roman"/>
          <w:b/>
          <w:sz w:val="20"/>
        </w:rPr>
        <w:t>Fundamental Change Repurchase Price</w:t>
      </w:r>
      <w:r>
        <w:rPr>
          <w:rFonts w:ascii="Times New Roman" w:hAnsi="Times New Roman"/>
          <w:sz w:val="20"/>
        </w:rPr>
        <w:t xml:space="preserve">”), unless the Fundamental Change Repurchase Date falls after a Regular Record Date but on or prior to the Interest Payment Date to which such Regular Record Date relates, in which case the Company shall instead pay the full amount of accrued and unpaid interest to Holders of record as of the close of business on such Regular Record Date on, or at the Company’s election, before such Interest Payment Date, and the Fundamental Change Repurchase Price shall be equal to 100% of the principal amount of Notes to be repurchased pursuant to this Article 15. </w:t>
      </w:r>
    </w:p>
    <w:p>
      <w:pPr>
        <w:pStyle w:val="TextBody"/>
        <w:bidi w:val="0"/>
        <w:spacing w:before="120" w:after="0"/>
        <w:jc w:val="left"/>
        <w:rPr>
          <w:rFonts w:ascii="Times New Roman" w:hAnsi="Times New Roman"/>
          <w:sz w:val="20"/>
        </w:rPr>
      </w:pPr>
      <w:r>
        <w:rPr>
          <w:rFonts w:ascii="Times New Roman" w:hAnsi="Times New Roman"/>
          <w:sz w:val="20"/>
        </w:rPr>
        <w:t xml:space="preserve">(b) Repurchases of Notes under this Section 15.02 shall be made, at the option of the Holder thereof, upon: </w:t>
      </w:r>
    </w:p>
    <w:p>
      <w:pPr>
        <w:pStyle w:val="TextBody"/>
        <w:bidi w:val="0"/>
        <w:spacing w:before="120" w:after="0"/>
        <w:jc w:val="left"/>
        <w:rPr>
          <w:rFonts w:ascii="Times New Roman" w:hAnsi="Times New Roman"/>
          <w:sz w:val="20"/>
        </w:rPr>
      </w:pPr>
      <w:r>
        <w:rPr>
          <w:rFonts w:ascii="Times New Roman" w:hAnsi="Times New Roman"/>
          <w:sz w:val="20"/>
        </w:rPr>
        <w:t>(i) delivery to the Paying Agent by a Holder of a duly completed notice (the “</w:t>
      </w:r>
      <w:r>
        <w:rPr>
          <w:rFonts w:ascii="Times New Roman" w:hAnsi="Times New Roman"/>
          <w:b/>
          <w:sz w:val="20"/>
        </w:rPr>
        <w:t>Fundamental Change Repurchase Notice</w:t>
      </w:r>
      <w:r>
        <w:rPr>
          <w:rFonts w:ascii="Times New Roman" w:hAnsi="Times New Roman"/>
          <w:sz w:val="20"/>
        </w:rPr>
        <w:t xml:space="preserve">”) in the form set forth in Attachment 2 to the Form of Note attached hereto as Exhibit A, if the Notes are Physical Notes, or in compliance with the Depositary’s applicable procedures for surrendering interests in Global Notes, if the Notes are Global Notes, in each case, on or before the close of business on the Business Day immediately preceding the Fundamental Change Repurchase Date;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applicable procedures of the Depositary, in each case, such delivery or transfer being a condition to receipt by the Holder of the Fundamental Change Repurchase Price therefor. </w:t>
      </w:r>
    </w:p>
    <w:p>
      <w:pPr>
        <w:pStyle w:val="TextBody"/>
        <w:bidi w:val="0"/>
        <w:spacing w:before="240" w:after="0"/>
        <w:jc w:val="left"/>
        <w:rPr>
          <w:rFonts w:ascii="Times New Roman" w:hAnsi="Times New Roman"/>
          <w:sz w:val="20"/>
        </w:rPr>
      </w:pPr>
      <w:r>
        <w:rPr>
          <w:rFonts w:ascii="Times New Roman" w:hAnsi="Times New Roman"/>
          <w:sz w:val="20"/>
        </w:rPr>
        <w:t xml:space="preserve">The Fundamental Change Repurchase Notice in respect of any Physical Notes to be repurchased shall state: </w:t>
      </w:r>
    </w:p>
    <w:p>
      <w:pPr>
        <w:pStyle w:val="TextBody"/>
        <w:bidi w:val="0"/>
        <w:spacing w:before="120" w:after="0"/>
        <w:jc w:val="left"/>
        <w:rPr>
          <w:rFonts w:ascii="Times New Roman" w:hAnsi="Times New Roman"/>
          <w:sz w:val="20"/>
        </w:rPr>
      </w:pPr>
      <w:r>
        <w:rPr>
          <w:rFonts w:ascii="Times New Roman" w:hAnsi="Times New Roman"/>
          <w:sz w:val="20"/>
        </w:rPr>
        <w:t xml:space="preserve">(i) the certificate numbers of the Notes to be delivered for repurchase; </w:t>
      </w:r>
    </w:p>
    <w:p>
      <w:pPr>
        <w:pStyle w:val="TextBody"/>
        <w:bidi w:val="0"/>
        <w:spacing w:before="120" w:after="0"/>
        <w:jc w:val="left"/>
        <w:rPr>
          <w:rFonts w:ascii="Times New Roman" w:hAnsi="Times New Roman"/>
          <w:sz w:val="20"/>
        </w:rPr>
      </w:pPr>
      <w:r>
        <w:rPr>
          <w:rFonts w:ascii="Times New Roman" w:hAnsi="Times New Roman"/>
          <w:sz w:val="20"/>
        </w:rPr>
        <w:t xml:space="preserve">(ii) the portion of the principal amount of Notes to be repurchased, which must be $1,000 or an integral multiple thereof; and </w:t>
      </w:r>
    </w:p>
    <w:p>
      <w:pPr>
        <w:pStyle w:val="TextBody"/>
        <w:bidi w:val="0"/>
        <w:spacing w:before="120" w:after="0"/>
        <w:jc w:val="left"/>
        <w:rPr>
          <w:rFonts w:ascii="Times New Roman" w:hAnsi="Times New Roman"/>
          <w:sz w:val="20"/>
        </w:rPr>
      </w:pPr>
      <w:r>
        <w:rPr>
          <w:rFonts w:ascii="Times New Roman" w:hAnsi="Times New Roman"/>
          <w:sz w:val="20"/>
        </w:rPr>
        <w:t xml:space="preserve">(iii) that the Notes are to be repurchased by the Company pursuant to the applicable provisions of the Notes and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If the Notes are Global Notes, to exercise the Fundamental Change repurchase right, Holders must surrender their Notes in accordance with applicable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15.03. </w:t>
      </w:r>
    </w:p>
    <w:p>
      <w:pPr>
        <w:pStyle w:val="TextBody"/>
        <w:bidi w:val="0"/>
        <w:spacing w:before="240" w:after="0"/>
        <w:jc w:val="left"/>
        <w:rPr>
          <w:rFonts w:ascii="Times New Roman" w:hAnsi="Times New Roman"/>
          <w:sz w:val="20"/>
        </w:rPr>
      </w:pPr>
      <w:r>
        <w:rPr>
          <w:rFonts w:ascii="Times New Roman" w:hAnsi="Times New Roman"/>
          <w:sz w:val="20"/>
        </w:rPr>
        <w:t xml:space="preserve">The Paying Agent shall promptly notify the Company of the receipt by it of any Fundamental Change Repurchase Notice or written notice of withdrawal thereof. </w:t>
      </w:r>
    </w:p>
    <w:p>
      <w:pPr>
        <w:pStyle w:val="TextBody"/>
        <w:bidi w:val="0"/>
        <w:spacing w:before="120" w:after="0"/>
        <w:jc w:val="left"/>
        <w:rPr>
          <w:rFonts w:ascii="Times New Roman" w:hAnsi="Times New Roman"/>
          <w:sz w:val="20"/>
        </w:rPr>
      </w:pPr>
      <w:r>
        <w:rPr>
          <w:rFonts w:ascii="Times New Roman" w:hAnsi="Times New Roman"/>
          <w:sz w:val="20"/>
        </w:rPr>
        <w:t>(c) On or before the 20th Business Day after the occurrence of the effective date of a Fundamental Change, the Company shall provide to all Holders and the Trustee, the Conversion Agent (in the case of a Conversion Agent other than the Trustee) and the Paying Agent (in the case of a Paying Agent other than the Trustee) a notice (the “</w:t>
      </w:r>
      <w:r>
        <w:rPr>
          <w:rFonts w:ascii="Times New Roman" w:hAnsi="Times New Roman"/>
          <w:b/>
          <w:sz w:val="20"/>
        </w:rPr>
        <w:t>Fundamental Change Company Notice</w:t>
      </w:r>
      <w:r>
        <w:rPr>
          <w:rFonts w:ascii="Times New Roman" w:hAnsi="Times New Roman"/>
          <w:sz w:val="20"/>
        </w:rPr>
        <w:t xml:space="preserve">”) of the occurrence of the effective date of the Fundamental Change and of the resulting repurchase right at the option of the Holders arising as a result thereof. In the case of Physical Notes, such notice shall be delivered by first class mail or, in the case of Global Notes, such notice shall be delivered in accordance with the applicable procedures of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Simultaneously with providing such notice, the Company shall publish such information on the Company’s website or through such other public medium as the Company may use at that time. Each Fundamental Change Company Notice shall specify: </w:t>
      </w:r>
    </w:p>
    <w:p>
      <w:pPr>
        <w:pStyle w:val="TextBody"/>
        <w:bidi w:val="0"/>
        <w:spacing w:before="120" w:after="0"/>
        <w:jc w:val="left"/>
        <w:rPr>
          <w:rFonts w:ascii="Times New Roman" w:hAnsi="Times New Roman"/>
          <w:sz w:val="20"/>
        </w:rPr>
      </w:pPr>
      <w:r>
        <w:rPr>
          <w:rFonts w:ascii="Times New Roman" w:hAnsi="Times New Roman"/>
          <w:sz w:val="20"/>
        </w:rPr>
        <w:t xml:space="preserve">(i) the events causing the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(ii) the effective date of the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(iii) the last date on which a Holder may exercise the repurchase right pursuant to this Article 15; </w:t>
      </w:r>
    </w:p>
    <w:p>
      <w:pPr>
        <w:pStyle w:val="TextBody"/>
        <w:bidi w:val="0"/>
        <w:spacing w:before="120" w:after="0"/>
        <w:jc w:val="left"/>
        <w:rPr>
          <w:rFonts w:ascii="Times New Roman" w:hAnsi="Times New Roman"/>
          <w:sz w:val="20"/>
        </w:rPr>
      </w:pPr>
      <w:r>
        <w:rPr>
          <w:rFonts w:ascii="Times New Roman" w:hAnsi="Times New Roman"/>
          <w:sz w:val="20"/>
        </w:rPr>
        <w:t xml:space="preserve">(iv) the Fundamental Change Repurchase Price; </w:t>
      </w:r>
    </w:p>
    <w:p>
      <w:pPr>
        <w:pStyle w:val="TextBody"/>
        <w:bidi w:val="0"/>
        <w:spacing w:before="120" w:after="0"/>
        <w:jc w:val="left"/>
        <w:rPr>
          <w:rFonts w:ascii="Times New Roman" w:hAnsi="Times New Roman"/>
          <w:sz w:val="20"/>
        </w:rPr>
      </w:pPr>
      <w:r>
        <w:rPr>
          <w:rFonts w:ascii="Times New Roman" w:hAnsi="Times New Roman"/>
          <w:sz w:val="20"/>
        </w:rPr>
        <w:t xml:space="preserve">(v) the Fundamental Change Repurchase Date; </w:t>
      </w:r>
    </w:p>
    <w:p>
      <w:pPr>
        <w:pStyle w:val="TextBody"/>
        <w:bidi w:val="0"/>
        <w:spacing w:before="120" w:after="0"/>
        <w:jc w:val="left"/>
        <w:rPr>
          <w:rFonts w:ascii="Times New Roman" w:hAnsi="Times New Roman"/>
          <w:sz w:val="20"/>
        </w:rPr>
      </w:pPr>
      <w:r>
        <w:rPr>
          <w:rFonts w:ascii="Times New Roman" w:hAnsi="Times New Roman"/>
          <w:sz w:val="20"/>
        </w:rPr>
        <w:t xml:space="preserve">(vi) the name and address of the Paying Agent and the Conversion Agent, if applicable; </w:t>
      </w:r>
    </w:p>
    <w:p>
      <w:pPr>
        <w:pStyle w:val="TextBody"/>
        <w:bidi w:val="0"/>
        <w:spacing w:before="120" w:after="0"/>
        <w:jc w:val="left"/>
        <w:rPr>
          <w:rFonts w:ascii="Times New Roman" w:hAnsi="Times New Roman"/>
          <w:sz w:val="20"/>
        </w:rPr>
      </w:pPr>
      <w:r>
        <w:rPr>
          <w:rFonts w:ascii="Times New Roman" w:hAnsi="Times New Roman"/>
          <w:sz w:val="20"/>
        </w:rPr>
        <w:t xml:space="preserve">(vii) if applicable, the Conversion Rate and any adjustments to the Conversion Rate as a result of the Fundamental Change (or related Make-Whole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(viii) that the Notes with respect to which a Fundamental Change Repurchase Notice has been delivered by a Holder may be converted only if the Holder withdraws the Fundamental Change Repurchase Notice in accordance with the terms of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(ix) the procedures that Holders must follow to require the Company to repurchase their Notes. </w:t>
      </w:r>
    </w:p>
    <w:p>
      <w:pPr>
        <w:pStyle w:val="TextBody"/>
        <w:bidi w:val="0"/>
        <w:spacing w:before="240" w:after="0"/>
        <w:jc w:val="left"/>
        <w:rPr>
          <w:rFonts w:ascii="Times New Roman" w:hAnsi="Times New Roman"/>
          <w:sz w:val="20"/>
        </w:rPr>
      </w:pPr>
      <w:r>
        <w:rPr>
          <w:rFonts w:ascii="Times New Roman" w:hAnsi="Times New Roman"/>
          <w:sz w:val="20"/>
        </w:rPr>
        <w:t xml:space="preserve">No failure of the Company to give the foregoing notices and no defect therein shall limit the Holders’ repurchase rights or affect the validity of the proceedings for the repurchase of the Notes pursuant to this Section 15.02. </w:t>
      </w:r>
    </w:p>
    <w:p>
      <w:pPr>
        <w:pStyle w:val="TextBody"/>
        <w:bidi w:val="0"/>
        <w:spacing w:before="240" w:after="0"/>
        <w:jc w:val="left"/>
        <w:rPr>
          <w:rFonts w:ascii="Times New Roman" w:hAnsi="Times New Roman"/>
          <w:sz w:val="20"/>
        </w:rPr>
      </w:pPr>
      <w:r>
        <w:rPr>
          <w:rFonts w:ascii="Times New Roman" w:hAnsi="Times New Roman"/>
          <w:sz w:val="20"/>
        </w:rPr>
        <w:t xml:space="preserve">At the Company’s written request, given at least two (2) Business Days before such notice is to be sent (or such shorter period as shall be acceptable to the Trustee), the Trustee shall give such notice in the Company’s name and at the Company’s expense;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all cases, the text of such Fundamental Change Company Notice shall be prepared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Article 15, the Company shall not be required to repurchase, or to make an offer to repurchase, the Notes upon a Fundamental Change if a third party makes such an offer in the same manner, at the same time and otherwise in compliance with the requirements for an offer made by the Company as set forth in this Article 15 and such third party purchases all Notes properly surrendered and not validly withdrawn under its offer in the same manner, at the same time and otherwise in compliance with the requirements for an offer made by the Company as set forth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of the Depositary shall be deemed to have been cancelled, and, upon such return or cancellation, as the case may be, the Fundamental Change Repurchase Notice with respect thereto shall be deemed to have been withdrawn. </w:t>
      </w:r>
    </w:p>
    <w:p>
      <w:pPr>
        <w:pStyle w:val="TextBody"/>
        <w:bidi w:val="0"/>
        <w:spacing w:before="120" w:after="0"/>
        <w:jc w:val="left"/>
        <w:rPr>
          <w:rFonts w:ascii="Times New Roman" w:hAnsi="Times New Roman"/>
          <w:sz w:val="20"/>
        </w:rPr>
      </w:pPr>
      <w:r>
        <w:rPr>
          <w:rFonts w:ascii="Times New Roman" w:hAnsi="Times New Roman"/>
          <w:sz w:val="20"/>
        </w:rPr>
        <w:t>(f) Notwithstanding anything to the contrary in this Section 15.02, the Company shall not be required to send a Fundamental Change Company Notice, or offer to repurchase or repurchase any Notes, as set forth in this Article 15, in connection with a Fundamental Change occurring pursuant to clause (b)(A) or (B) of the definition thereof, if: (i) such Fundamental Change constitutes a Share Exchange Event whose Reference Property consists entirely of cash in U.S. dollars; (ii) immediately after such Fundamental Change, the Notes become convertible (pursuant to Section 14.07 and, if applicable, Section 14.03) into consideration that consists solely of U.S. dollars in an amount per $1,000 principal amount of Notes that equals or exceeds the Fundamental Change Repurchase Price per $1,000 principal amount of Notes (calculated assuming that the same includes the maximum amount of any accrued but unpaid interest payable as part of the Fundamental Change Repurchase Price for such Fundamental Change); and (iii) the Company timely sends Fundamental Change Company Notice in accordance with Section 15.02(c). Any Fundamental Change with respect to which, in accordance with the provisions described in this Section 15.02(f), the Company does not offer to repurchase any Notes is referred to herein as an “</w:t>
      </w:r>
      <w:r>
        <w:rPr>
          <w:rFonts w:ascii="Times New Roman" w:hAnsi="Times New Roman"/>
          <w:b/>
          <w:sz w:val="20"/>
        </w:rPr>
        <w:t>Exempted Fundamental 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15.03</w:t>
      </w:r>
      <w:r>
        <w:rPr>
          <w:rFonts w:ascii="Times New Roman" w:hAnsi="Times New Roman"/>
          <w:i/>
          <w:sz w:val="20"/>
        </w:rPr>
        <w:t>. Withdrawal of Fundamental Change Repurchase Notice</w:t>
      </w:r>
      <w:r>
        <w:rPr>
          <w:rFonts w:ascii="Times New Roman" w:hAnsi="Times New Roman"/>
          <w:sz w:val="20"/>
        </w:rPr>
        <w:t xml:space="preserve"> </w:t>
      </w:r>
      <w:r>
        <w:rPr>
          <w:rFonts w:ascii="Times New Roman" w:hAnsi="Times New Roman"/>
          <w:i/>
          <w:sz w:val="20"/>
        </w:rPr>
        <w:t>.</w:t>
      </w:r>
      <w:r>
        <w:rPr>
          <w:rFonts w:ascii="Times New Roman" w:hAnsi="Times New Roman"/>
          <w:sz w:val="20"/>
        </w:rPr>
        <w:t xml:space="preserve"> A Fundamental Change Repurchase Notice may be withdrawn (in whole or in part) in respect of Physical Notes by means of a written notice of withdrawal delivered to the Corporate Trust Office of the Paying Agent in accordance with this Section 15.03 at any time prior to the close of business on the Business Day immediately preceding the Fundamental Change Repurchase Date, specifying: </w:t>
      </w:r>
    </w:p>
    <w:p>
      <w:pPr>
        <w:pStyle w:val="TextBody"/>
        <w:bidi w:val="0"/>
        <w:spacing w:before="120" w:after="0"/>
        <w:jc w:val="left"/>
        <w:rPr>
          <w:rFonts w:ascii="Times New Roman" w:hAnsi="Times New Roman"/>
          <w:sz w:val="20"/>
        </w:rPr>
      </w:pPr>
      <w:r>
        <w:rPr>
          <w:rFonts w:ascii="Times New Roman" w:hAnsi="Times New Roman"/>
          <w:sz w:val="20"/>
        </w:rPr>
        <w:t xml:space="preserve">(i) the principal amount of the Notes with respect to which such notice of withdrawal is being submitted, which must be $1,000 or an integral multiple thereof, </w:t>
      </w:r>
    </w:p>
    <w:p>
      <w:pPr>
        <w:pStyle w:val="TextBody"/>
        <w:bidi w:val="0"/>
        <w:spacing w:before="120" w:after="0"/>
        <w:jc w:val="left"/>
        <w:rPr>
          <w:rFonts w:ascii="Times New Roman" w:hAnsi="Times New Roman"/>
          <w:sz w:val="20"/>
        </w:rPr>
      </w:pPr>
      <w:r>
        <w:rPr>
          <w:rFonts w:ascii="Times New Roman" w:hAnsi="Times New Roman"/>
          <w:sz w:val="20"/>
        </w:rPr>
        <w:t xml:space="preserve">(ii) the certificate number of the Note in respect of which such notice of withdrawal is being submitted,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principal amount, if any, of such Note that remains subject to the original Fundamental Change Repurchase Notice which portion must be in principal amounts of $1,000 or an integral multiple of $1,000; </w:t>
      </w:r>
    </w:p>
    <w:p>
      <w:pPr>
        <w:pStyle w:val="TextBody"/>
        <w:bidi w:val="0"/>
        <w:spacing w:before="240" w:after="0"/>
        <w:jc w:val="left"/>
        <w:rPr>
          <w:rFonts w:ascii="Times New Roman" w:hAnsi="Times New Roman"/>
          <w:sz w:val="20"/>
        </w:rPr>
      </w:pPr>
      <w:r>
        <w:rPr>
          <w:rFonts w:ascii="Times New Roman" w:hAnsi="Times New Roman"/>
          <w:sz w:val="20"/>
        </w:rPr>
        <w:t xml:space="preserve">If the Notes are Global Notes, Holders must withdraw their Notes subject to repurchase at any time prior to the close of business on the Business Day immediately preceding the Fundamental Change Repurchase Date, in accordance with applicable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Section 15.04. </w:t>
      </w:r>
      <w:r>
        <w:rPr>
          <w:rFonts w:ascii="Times New Roman" w:hAnsi="Times New Roman"/>
          <w:i/>
          <w:sz w:val="20"/>
        </w:rPr>
        <w:t>Deposit of Repurchase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an amount of money sufficient to repurchase all of the Notes to be repurchased at the appropriate Fundamental Change Repurchase Price. Subject to receipt of funds and/or Notes by the Trustee (or other Paying Agent appointed by the Company), payment for Notes surrendered for repurchase (and not validly withdrawn prior to the close of business on the Business Day immediately preceding the Fundamental Change Repurchase Date) will be made on the later of (i) the Fundamental Change Repurchase Date (</w:t>
      </w:r>
      <w:r>
        <w:rPr>
          <w:rFonts w:ascii="Times New Roman" w:hAnsi="Times New Roman"/>
          <w:i/>
          <w:sz w:val="20"/>
        </w:rPr>
        <w:t>provided</w:t>
      </w:r>
      <w:r>
        <w:rPr>
          <w:rFonts w:ascii="Times New Roman" w:hAnsi="Times New Roman"/>
          <w:sz w:val="20"/>
        </w:rPr>
        <w:t xml:space="preserve"> the Holder has satisfied the conditions in Section 15.02), and (ii) the time of book-entry transfer or the delivery of such Note to the Trustee (or other Paying Agent appointed by the Company) by the Holder thereof in the manner required by Section 15.02, or by mailing checks for the amount payable to the Holders of such Notes entitled thereto as they shall appear in the Note Register;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payments to the Depositary shall be made by wire transfer of immediately available funds to the account of the Depositary or its nominee. The Paying Agent shall, promptly after such payment and upon written demand by the Company, return to the Company any funds in excess of the Fundamental Change Repurchase Price. </w:t>
      </w:r>
    </w:p>
    <w:p>
      <w:pPr>
        <w:pStyle w:val="TextBody"/>
        <w:bidi w:val="0"/>
        <w:spacing w:before="120" w:after="0"/>
        <w:jc w:val="left"/>
        <w:rPr>
          <w:rFonts w:ascii="Times New Roman" w:hAnsi="Times New Roman"/>
          <w:sz w:val="20"/>
        </w:rPr>
      </w:pPr>
      <w:r>
        <w:rPr>
          <w:rFonts w:ascii="Times New Roman" w:hAnsi="Times New Roman"/>
          <w:sz w:val="20"/>
        </w:rPr>
        <w:t xml:space="preserve">(b) If by 11:00 a.m. New York City time, on the Fundamental Change Repurchase Date, the Trustee (or other Paying Agent appointed by the Company) holds money sufficient to pay the Fundamental Change Repurchase Price (and, to the extent not included in the Fundamental Change Repurchase Price, accrued and unpaid interest, if applicable) of the Notes to be repurchased on such Fundamental Change Repurchase Date, then, with respect to the Notes that have been properly surrendered for repurchase and have not been validly withdrawn, (i) such Notes will cease to be outstanding, (ii) interest will cease to accrue on such Notes (whether or not book-entry transfer of the Notes has been made or whether or not the Notes have been delivered to the Trustee or Paying Agent) and (iii) all other rights of the Holders of such Notes will terminate (other than the right to receive the Fundamental Change Repurchase Price, and, to the extent not included in the Fundamental Change Repurchase Price, accrued and unpaid interest, if applicable). </w:t>
      </w:r>
    </w:p>
    <w:p>
      <w:pPr>
        <w:pStyle w:val="TextBody"/>
        <w:bidi w:val="0"/>
        <w:spacing w:before="120" w:after="0"/>
        <w:jc w:val="left"/>
        <w:rPr>
          <w:rFonts w:ascii="Times New Roman" w:hAnsi="Times New Roman"/>
          <w:sz w:val="20"/>
        </w:rPr>
      </w:pPr>
      <w:r>
        <w:rPr>
          <w:rFonts w:ascii="Times New Roman" w:hAnsi="Times New Roman"/>
          <w:sz w:val="20"/>
        </w:rPr>
        <w:t xml:space="preserve">(c) Upon surrender of a Note that is to be repurchased in part pursuant to Section 15.02, as applicable, the Company shall execute and the Trustee shall authenticate and deliver to the Holder a new Note in an authorized denomination equal in principal amount to the unrepurchased portion of the Note surrendered.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15.05. </w:t>
      </w:r>
      <w:r>
        <w:rPr>
          <w:rFonts w:ascii="Times New Roman" w:hAnsi="Times New Roman"/>
          <w:i/>
          <w:sz w:val="20"/>
        </w:rPr>
        <w:t>Covenant to Comply with Applicable Laws Upon Repurchase of Notes</w:t>
      </w:r>
      <w:r>
        <w:rPr>
          <w:rFonts w:ascii="Times New Roman" w:hAnsi="Times New Roman"/>
          <w:sz w:val="20"/>
        </w:rPr>
        <w:t xml:space="preserve">. In connection with any repurchase offer upon a Fundamental Change pursuant to this Article 15, the Company will, if required: </w:t>
      </w:r>
    </w:p>
    <w:p>
      <w:pPr>
        <w:pStyle w:val="TextBody"/>
        <w:bidi w:val="0"/>
        <w:spacing w:before="120" w:after="0"/>
        <w:jc w:val="left"/>
        <w:rPr>
          <w:rFonts w:ascii="Times New Roman" w:hAnsi="Times New Roman"/>
          <w:sz w:val="20"/>
        </w:rPr>
      </w:pPr>
      <w:r>
        <w:rPr>
          <w:rFonts w:ascii="Times New Roman" w:hAnsi="Times New Roman"/>
          <w:sz w:val="20"/>
        </w:rPr>
        <w:t xml:space="preserve">(a) comply with the tender offer rules under the Exchange Act that may then be applicable; </w:t>
      </w:r>
    </w:p>
    <w:p>
      <w:pPr>
        <w:pStyle w:val="TextBody"/>
        <w:bidi w:val="0"/>
        <w:spacing w:before="120" w:after="0"/>
        <w:jc w:val="left"/>
        <w:rPr>
          <w:rFonts w:ascii="Times New Roman" w:hAnsi="Times New Roman"/>
          <w:sz w:val="20"/>
        </w:rPr>
      </w:pPr>
      <w:r>
        <w:rPr>
          <w:rFonts w:ascii="Times New Roman" w:hAnsi="Times New Roman"/>
          <w:sz w:val="20"/>
        </w:rPr>
        <w:t xml:space="preserve">(b) file a Schedule TO or any other required schedule under the Exchange Act; and </w:t>
      </w:r>
    </w:p>
    <w:p>
      <w:pPr>
        <w:pStyle w:val="TextBody"/>
        <w:bidi w:val="0"/>
        <w:spacing w:before="120" w:after="0"/>
        <w:jc w:val="left"/>
        <w:rPr>
          <w:rFonts w:ascii="Times New Roman" w:hAnsi="Times New Roman"/>
          <w:sz w:val="20"/>
        </w:rPr>
      </w:pPr>
      <w:r>
        <w:rPr>
          <w:rFonts w:ascii="Times New Roman" w:hAnsi="Times New Roman"/>
          <w:sz w:val="20"/>
        </w:rPr>
        <w:t xml:space="preserve">(c) otherwise comply in all material respects with all federal and state securities laws in connection with any offer by the Company to repurchase the Notes; </w:t>
      </w:r>
    </w:p>
    <w:p>
      <w:pPr>
        <w:pStyle w:val="TextBody"/>
        <w:bidi w:val="0"/>
        <w:spacing w:before="240" w:after="0"/>
        <w:jc w:val="left"/>
        <w:rPr>
          <w:rFonts w:ascii="Times New Roman" w:hAnsi="Times New Roman"/>
          <w:sz w:val="20"/>
        </w:rPr>
      </w:pPr>
      <w:r>
        <w:rPr>
          <w:rFonts w:ascii="Times New Roman" w:hAnsi="Times New Roman"/>
          <w:sz w:val="20"/>
        </w:rPr>
        <w:t xml:space="preserve">in each case, so as to permit the rights and obligations under this Article 15 to be exercised in the time and in the manner specified in this Article 15.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 provisions of any securities laws or regulations enacted or adopted after the date of this Indenture conflict with the provisions of this Indenture relating to the Company’s obligations to repurchase the Notes upon a Fundamental Change, the Company shall comply with such securities laws and regulations and shall not be deemed to have breached its obligations under such provisions of this Indenture by virtue of such conflict. </w:t>
      </w:r>
    </w:p>
    <w:p>
      <w:pPr>
        <w:pStyle w:val="TextBody"/>
        <w:bidi w:val="0"/>
        <w:spacing w:before="480" w:after="0"/>
        <w:jc w:val="center"/>
        <w:rPr>
          <w:rFonts w:ascii="Times New Roman" w:hAnsi="Times New Roman"/>
          <w:sz w:val="20"/>
        </w:rPr>
      </w:pPr>
      <w:r>
        <w:rPr>
          <w:rFonts w:ascii="Times New Roman" w:hAnsi="Times New Roman"/>
          <w:sz w:val="20"/>
        </w:rPr>
        <w:t xml:space="preserve">ARTICLE 16 </w:t>
      </w:r>
    </w:p>
    <w:p>
      <w:pPr>
        <w:pStyle w:val="TextBody"/>
        <w:bidi w:val="0"/>
        <w:spacing w:before="0" w:after="0"/>
        <w:jc w:val="center"/>
        <w:rPr>
          <w:rFonts w:ascii="Times New Roman" w:hAnsi="Times New Roman"/>
          <w:sz w:val="20"/>
        </w:rPr>
      </w:pPr>
      <w:r>
        <w:rPr>
          <w:rFonts w:ascii="Times New Roman" w:hAnsi="Times New Roman"/>
          <w:sz w:val="20"/>
        </w:rPr>
        <w:t xml:space="preserve">OPTIONAL 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16.01. </w:t>
      </w:r>
      <w:r>
        <w:rPr>
          <w:rFonts w:ascii="Times New Roman" w:hAnsi="Times New Roman"/>
          <w:i/>
          <w:sz w:val="20"/>
        </w:rPr>
        <w:t>Optional Redemption</w:t>
      </w:r>
      <w:r>
        <w:rPr>
          <w:rFonts w:ascii="Times New Roman" w:hAnsi="Times New Roman"/>
          <w:sz w:val="20"/>
        </w:rPr>
        <w:t>. No sinking fund is provided for the Notes. On or after November 20, 2028, the Company may redeem (an “</w:t>
      </w:r>
      <w:r>
        <w:rPr>
          <w:rFonts w:ascii="Times New Roman" w:hAnsi="Times New Roman"/>
          <w:b/>
          <w:sz w:val="20"/>
        </w:rPr>
        <w:t>Optional Redemption</w:t>
      </w:r>
      <w:r>
        <w:rPr>
          <w:rFonts w:ascii="Times New Roman" w:hAnsi="Times New Roman"/>
          <w:sz w:val="20"/>
        </w:rPr>
        <w:t xml:space="preserve">”) for cash all or any portion of the Notes, at the Redemption Price,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the Notice of Redemption in accordance with Section 16.02. The Trustee shall have no liability or responsibility for determining whether the conditions to redemption have been met. The Company may redeem for cash all of the Notes, at the Redemption Price, at any time if less than 10% of the aggregate principal amount of the Notes initially issued on the date of this Indenture remain outstanding. Except as provided in the immediately preceding sentence, the Notes are not redeemable prior to November 20, 2028.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16.02. </w:t>
      </w:r>
      <w:r>
        <w:rPr>
          <w:rFonts w:ascii="Times New Roman" w:hAnsi="Times New Roman"/>
          <w:i/>
          <w:sz w:val="20"/>
        </w:rPr>
        <w:t>Notice of Optional Redemption; Selection of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In case the Company exercises its Optional Redemption right to redeem all or, as the case may be, any part of the Notes pursuant to Section 16.01, it shall fix a date for redemption (each, a “</w:t>
      </w:r>
      <w:r>
        <w:rPr>
          <w:rFonts w:ascii="Times New Roman" w:hAnsi="Times New Roman"/>
          <w:b/>
          <w:sz w:val="20"/>
        </w:rPr>
        <w:t>Redemption Date</w:t>
      </w:r>
      <w:r>
        <w:rPr>
          <w:rFonts w:ascii="Times New Roman" w:hAnsi="Times New Roman"/>
          <w:sz w:val="20"/>
        </w:rPr>
        <w:t>”) and it or, at its written request set forth in an Officer’s Certificate received by the Trustee not less than five Business Days prior to the date such Notice of Redemption is to be sent (or such shorter period of time as may be acceptable to the Trustee), the Trustee, in the name of and at the expense of the Company, shall deliver or cause to be delivered a written notice of such Optional Redemption (a “</w:t>
      </w:r>
      <w:r>
        <w:rPr>
          <w:rFonts w:ascii="Times New Roman" w:hAnsi="Times New Roman"/>
          <w:b/>
          <w:sz w:val="20"/>
        </w:rPr>
        <w:t>Notice of Redemption</w:t>
      </w:r>
      <w:r>
        <w:rPr>
          <w:rFonts w:ascii="Times New Roman" w:hAnsi="Times New Roman"/>
          <w:sz w:val="20"/>
        </w:rPr>
        <w:t xml:space="preserve">”) not less than 45 nor more than 65 Scheduled Trading Days prior to the Redemption Date to each Holder so to be redeemed as a whole or in part;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Company shall give such notice, it shall also give written notice of the Redemption Date to the Trustee, the Paying Agent (if other than the Trustee) and the Conversion Agent (if other than the Trustee);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in accordance with the provisions described in Section 14.02(a)(iii), the Company elects through delivery of a Settlement Notice to settle all conversions of Called Notes with a Conversion Date that occurs during the related Redemption Period by Physical Settlement, then the Company may instead elect to choose a Redemption Date that is a Business Day not less than 25 calendar days nor more than 55 Scheduled Trading Days after the date the Company sends such Notice of Redemption to each Holder so to be redeemed as a whole or in part. The Redemption Date must be a Business Day, and the Company may not specify a Redemption Date that falls on or after the 41st Scheduled Trading Day immediately preceding the Maturity Date. </w:t>
      </w:r>
    </w:p>
    <w:p>
      <w:pPr>
        <w:pStyle w:val="TextBody"/>
        <w:bidi w:val="0"/>
        <w:spacing w:before="120" w:after="0"/>
        <w:jc w:val="left"/>
        <w:rPr>
          <w:rFonts w:ascii="Times New Roman" w:hAnsi="Times New Roman"/>
          <w:sz w:val="20"/>
        </w:rPr>
      </w:pPr>
      <w:r>
        <w:rPr>
          <w:rFonts w:ascii="Times New Roman" w:hAnsi="Times New Roman"/>
          <w:sz w:val="20"/>
        </w:rPr>
        <w:t xml:space="preserve">(b) The Notice of Redemption, if delivered in the manner herein provided, shall be conclusively presumed to have been duly given, whether or not the Holder receives such notice. In any case, failure to give such Notice of Redemption or any defect in the Notice of Redemption to the Holder of any Note designated for redemption as a whole or in part shall not affect the validity of the proceedings for the redemption of any other Note. </w:t>
      </w:r>
    </w:p>
    <w:p>
      <w:pPr>
        <w:pStyle w:val="TextBody"/>
        <w:bidi w:val="0"/>
        <w:spacing w:before="120" w:after="0"/>
        <w:jc w:val="left"/>
        <w:rPr>
          <w:rFonts w:ascii="Times New Roman" w:hAnsi="Times New Roman"/>
          <w:sz w:val="20"/>
        </w:rPr>
      </w:pPr>
      <w:r>
        <w:rPr>
          <w:rFonts w:ascii="Times New Roman" w:hAnsi="Times New Roman"/>
          <w:sz w:val="20"/>
        </w:rPr>
        <w:t xml:space="preserve">(c) Each Notice of Redemption shall specify: </w:t>
      </w:r>
    </w:p>
    <w:p>
      <w:pPr>
        <w:pStyle w:val="TextBody"/>
        <w:bidi w:val="0"/>
        <w:spacing w:before="120" w:after="0"/>
        <w:jc w:val="left"/>
        <w:rPr>
          <w:rFonts w:ascii="Times New Roman" w:hAnsi="Times New Roman"/>
          <w:sz w:val="20"/>
        </w:rPr>
      </w:pPr>
      <w:r>
        <w:rPr>
          <w:rFonts w:ascii="Times New Roman" w:hAnsi="Times New Roman"/>
          <w:sz w:val="20"/>
        </w:rPr>
        <w:t xml:space="preserve">(i)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(ii)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(iii) that on the Redemption Date, the Redemption Price will become due and payable upon each Note to be redeemed, and that interest thereon shall cease to accrue on and after payment of the Redemption Price in full on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(iv) the place or places where such Notes are to be surrendered for payment of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(v) that Holders of Called Notes may surrender such Notes for conversion at any time during the related Redemption Period; </w:t>
      </w:r>
    </w:p>
    <w:p>
      <w:pPr>
        <w:pStyle w:val="TextBody"/>
        <w:bidi w:val="0"/>
        <w:spacing w:before="120" w:after="0"/>
        <w:jc w:val="left"/>
        <w:rPr>
          <w:rFonts w:ascii="Times New Roman" w:hAnsi="Times New Roman"/>
          <w:sz w:val="20"/>
        </w:rPr>
      </w:pPr>
      <w:r>
        <w:rPr>
          <w:rFonts w:ascii="Times New Roman" w:hAnsi="Times New Roman"/>
          <w:sz w:val="20"/>
        </w:rPr>
        <w:t xml:space="preserve">(vi) the procedures a converting Holder must follow to convert its Called Notes and the Settlement Method and Specified Dollar Amount, if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the Conversion Rate and, if applicable, the number of Additional Shares added to the Conversion Rate in accordance with Section 14.03; </w:t>
      </w:r>
    </w:p>
    <w:p>
      <w:pPr>
        <w:pStyle w:val="TextBody"/>
        <w:bidi w:val="0"/>
        <w:spacing w:before="120" w:after="0"/>
        <w:jc w:val="left"/>
        <w:rPr>
          <w:rFonts w:ascii="Times New Roman" w:hAnsi="Times New Roman"/>
          <w:sz w:val="20"/>
        </w:rPr>
      </w:pPr>
      <w:r>
        <w:rPr>
          <w:rFonts w:ascii="Times New Roman" w:hAnsi="Times New Roman"/>
          <w:sz w:val="20"/>
        </w:rPr>
        <w:t xml:space="preserve">(viii) the CUSIP, ISIN or other similar numbers, if any, assigned to such Notes; and </w:t>
      </w:r>
    </w:p>
    <w:p>
      <w:pPr>
        <w:pStyle w:val="TextBody"/>
        <w:bidi w:val="0"/>
        <w:spacing w:before="120" w:after="0"/>
        <w:jc w:val="left"/>
        <w:rPr>
          <w:rFonts w:ascii="Times New Roman" w:hAnsi="Times New Roman"/>
          <w:sz w:val="20"/>
        </w:rPr>
      </w:pPr>
      <w:r>
        <w:rPr>
          <w:rFonts w:ascii="Times New Roman" w:hAnsi="Times New Roman"/>
          <w:sz w:val="20"/>
        </w:rPr>
        <w:t xml:space="preserve">(ix) in case any Note is to be redeemed in part only, the portion of the principal amount thereof to be redeemed and on and after the Redemption Date, upon surrender of such Note, a new Note in principal amount equal to the unredeemed portion thereof shall be issued. </w:t>
      </w:r>
    </w:p>
    <w:p>
      <w:pPr>
        <w:pStyle w:val="TextBody"/>
        <w:bidi w:val="0"/>
        <w:spacing w:before="240" w:after="0"/>
        <w:jc w:val="left"/>
        <w:rPr>
          <w:rFonts w:ascii="Times New Roman" w:hAnsi="Times New Roman"/>
          <w:sz w:val="20"/>
        </w:rPr>
      </w:pPr>
      <w:r>
        <w:rPr>
          <w:rFonts w:ascii="Times New Roman" w:hAnsi="Times New Roman"/>
          <w:sz w:val="20"/>
        </w:rPr>
        <w:t xml:space="preserve">A Notice of Redemption shall be irrevocable. </w:t>
      </w:r>
    </w:p>
    <w:p>
      <w:pPr>
        <w:pStyle w:val="TextBody"/>
        <w:bidi w:val="0"/>
        <w:spacing w:before="240" w:after="0"/>
        <w:jc w:val="left"/>
        <w:rPr>
          <w:rFonts w:ascii="Times New Roman" w:hAnsi="Times New Roman"/>
          <w:sz w:val="20"/>
        </w:rPr>
      </w:pPr>
      <w:r>
        <w:rPr>
          <w:rFonts w:ascii="Times New Roman" w:hAnsi="Times New Roman"/>
          <w:sz w:val="20"/>
        </w:rPr>
        <w:t xml:space="preserve">Section 16.03. </w:t>
      </w:r>
      <w:r>
        <w:rPr>
          <w:rFonts w:ascii="Times New Roman" w:hAnsi="Times New Roman"/>
          <w:i/>
          <w:sz w:val="20"/>
        </w:rPr>
        <w:t>Payment of Notes Called for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any Notice of Redemption has been given in respect of the Notes in accordance with Section 16.02, the Notes so subject to redemption shall become due and payable on the Redemption Date at the place or places stated in the Notice of Redemption and at the applicable Redemption Price. On presentation and surrender of the Notes to be redeemed at the place or places stated in the Notice of Redemption, the Notes shall be paid and redeemed by the Company at the applicable Redemption Price. Upon surrender of a Note that is to be redeemed in part pursuant to Section 16.01, the Company shall execute and the Trustee shall authenticate and deliver to the Holder a new Note in an authorized denomination equal in principal amount to the unredeemed portion of the Note surrendered. </w:t>
      </w:r>
    </w:p>
    <w:p>
      <w:pPr>
        <w:pStyle w:val="TextBody"/>
        <w:bidi w:val="0"/>
        <w:spacing w:before="120" w:after="0"/>
        <w:jc w:val="left"/>
        <w:rPr>
          <w:rFonts w:ascii="Times New Roman" w:hAnsi="Times New Roman"/>
          <w:sz w:val="20"/>
        </w:rPr>
      </w:pPr>
      <w:r>
        <w:rPr>
          <w:rFonts w:ascii="Times New Roman" w:hAnsi="Times New Roman"/>
          <w:sz w:val="20"/>
        </w:rPr>
        <w:t xml:space="preserve">(b) Prior to 11:00 a.m. New York City time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Section 16.04. </w:t>
      </w:r>
      <w:r>
        <w:rPr>
          <w:rFonts w:ascii="Times New Roman" w:hAnsi="Times New Roman"/>
          <w:i/>
          <w:sz w:val="20"/>
        </w:rPr>
        <w:t>Restrictions on Redemption</w:t>
      </w:r>
      <w:r>
        <w:rPr>
          <w:rFonts w:ascii="Times New Roman" w:hAnsi="Times New Roman"/>
          <w:sz w:val="20"/>
        </w:rPr>
        <w:t xml:space="preserve">. The Company may not redeem any Notes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17 </w:t>
      </w:r>
    </w:p>
    <w:p>
      <w:pPr>
        <w:pStyle w:val="TextBody"/>
        <w:bidi w:val="0"/>
        <w:spacing w:before="0" w:after="0"/>
        <w:jc w:val="center"/>
        <w:rPr>
          <w:rFonts w:ascii="Times New Roman" w:hAnsi="Times New Roman"/>
          <w:sz w:val="20"/>
        </w:rPr>
      </w:pPr>
      <w:r>
        <w:rPr>
          <w:rFonts w:ascii="Times New Roman" w:hAnsi="Times New Roman"/>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Section 17.01</w:t>
      </w:r>
      <w:r>
        <w:rPr>
          <w:rFonts w:ascii="Times New Roman" w:hAnsi="Times New Roman"/>
          <w:i/>
          <w:sz w:val="20"/>
        </w:rPr>
        <w:t>. Provisions Binding on the Company</w:t>
      </w:r>
      <w:r>
        <w:rPr>
          <w:rFonts w:ascii="Times New Roman" w:hAnsi="Times New Roman"/>
          <w:sz w:val="20"/>
        </w:rPr>
        <w:t>’</w:t>
      </w:r>
      <w:r>
        <w:rPr>
          <w:rFonts w:ascii="Times New Roman" w:hAnsi="Times New Roman"/>
          <w:i/>
          <w:sz w:val="20"/>
        </w:rPr>
        <w:t>s Successors</w:t>
      </w:r>
      <w:r>
        <w:rPr>
          <w:rFonts w:ascii="Times New Roman" w:hAnsi="Times New Roman"/>
          <w:sz w:val="20"/>
        </w:rPr>
        <w:t xml:space="preserve">. All the covenants, stipulations, promises and agreements of the Company contained in this Indenture shall bind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sz w:val="20"/>
        </w:rPr>
        <w:t>Section 17.02</w:t>
      </w:r>
      <w:r>
        <w:rPr>
          <w:rFonts w:ascii="Times New Roman" w:hAnsi="Times New Roman"/>
          <w:i/>
          <w:sz w:val="20"/>
        </w:rPr>
        <w:t>. Official Acts by Successor Entity</w:t>
      </w:r>
      <w:r>
        <w:rPr>
          <w:rFonts w:ascii="Times New Roman" w:hAnsi="Times New Roman"/>
          <w:sz w:val="20"/>
        </w:rPr>
        <w:t xml:space="preserve">.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 </w:t>
      </w:r>
    </w:p>
    <w:p>
      <w:pPr>
        <w:pStyle w:val="TextBody"/>
        <w:bidi w:val="0"/>
        <w:spacing w:before="240" w:after="0"/>
        <w:jc w:val="left"/>
        <w:rPr>
          <w:rFonts w:ascii="Times New Roman" w:hAnsi="Times New Roman"/>
          <w:sz w:val="20"/>
        </w:rPr>
      </w:pPr>
      <w:r>
        <w:rPr>
          <w:rFonts w:ascii="Times New Roman" w:hAnsi="Times New Roman"/>
          <w:sz w:val="20"/>
        </w:rPr>
        <w:t>Section 17.03</w:t>
      </w:r>
      <w:r>
        <w:rPr>
          <w:rFonts w:ascii="Times New Roman" w:hAnsi="Times New Roman"/>
          <w:i/>
          <w:sz w:val="20"/>
        </w:rPr>
        <w:t>. Addresses for Notices, Etc.</w:t>
      </w:r>
      <w:r>
        <w:rPr>
          <w:rFonts w:ascii="Times New Roman" w:hAnsi="Times New Roman"/>
          <w:sz w:val="20"/>
        </w:rPr>
        <w:t xml:space="preserve">. Any notice or demand that by any provision of this Indenture is required or permitted to be given or served by the Trustee or by the Holders on the Company shall be deemed to have been sufficiently given or made, for all purposes if given or served by overnight courier or by being deposited postage prepaid by registered or certified mail in a post office letter box addressed (until another address is filed by the Company with the Trustee) to AEVA Technologies, Inc., 555 Ellis Street, Mountain View, CA 94043, Attention: Chief Executive Officer. Any notice, direction, request or demand hereunder to or upon the Trustee shall be deemed to have been sufficiently given or made, for all purposes, if given or served by being deposited postage prepaid by registered or certified mail in a post office letter box, electronic transmission or overnight delivery addressed to the Corporate Trust Office, whether sent by mail or electronically, upon actual receipt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Trustee, by notice to the Company, may designate additional or different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Notwithstanding any other provision of this Indenture or any Note, where this Indenture or any Note provides for notice of any event (including any Notice of Redemption, any Fundamental Change Company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 </w:t>
      </w:r>
    </w:p>
    <w:p>
      <w:pPr>
        <w:pStyle w:val="TextBody"/>
        <w:bidi w:val="0"/>
        <w:spacing w:before="240" w:after="0"/>
        <w:jc w:val="left"/>
        <w:rPr>
          <w:rFonts w:ascii="Times New Roman" w:hAnsi="Times New Roman"/>
          <w:sz w:val="20"/>
        </w:rPr>
      </w:pPr>
      <w:r>
        <w:rPr>
          <w:rFonts w:ascii="Times New Roman" w:hAnsi="Times New Roman"/>
          <w:sz w:val="20"/>
        </w:rPr>
        <w:t xml:space="preserve">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 </w:t>
      </w:r>
    </w:p>
    <w:p>
      <w:pPr>
        <w:pStyle w:val="TextBody"/>
        <w:bidi w:val="0"/>
        <w:spacing w:before="240" w:after="0"/>
        <w:jc w:val="left"/>
        <w:rPr>
          <w:rFonts w:ascii="Times New Roman" w:hAnsi="Times New Roman"/>
          <w:sz w:val="20"/>
        </w:rPr>
      </w:pPr>
      <w:r>
        <w:rPr>
          <w:rFonts w:ascii="Times New Roman" w:hAnsi="Times New Roman"/>
          <w:sz w:val="20"/>
        </w:rPr>
        <w:t>Section 17.04</w:t>
      </w:r>
      <w:r>
        <w:rPr>
          <w:rFonts w:ascii="Times New Roman" w:hAnsi="Times New Roman"/>
          <w:i/>
          <w:sz w:val="20"/>
        </w:rPr>
        <w:t>. Governing Law; Jurisdiction</w:t>
      </w:r>
      <w:r>
        <w:rPr>
          <w:rFonts w:ascii="Times New Roman" w:hAnsi="Times New Roman"/>
          <w:sz w:val="20"/>
        </w:rPr>
        <w:t xml:space="preserve">. THIS INDENTURE AND EACH NOTE, AND ANY CLAIM, CONTROVERSY OR DISPUTE ARISING UNDER OR RELATED TO THIS INDENTURE AND EACH NOTE,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Times New Roman" w:hAnsi="Times New Roman"/>
          <w:i/>
          <w:sz w:val="20"/>
        </w:rPr>
        <w:t>in personam</w:t>
      </w:r>
      <w:r>
        <w:rPr>
          <w:rFonts w:ascii="Times New Roman" w:hAnsi="Times New Roman"/>
          <w:sz w:val="20"/>
        </w:rPr>
        <w:t xml:space="preserve">, generally and unconditionally with respect to any action, suit or proceeding for itself in respect of its properties, assets and revenues.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Section 17.05</w:t>
      </w:r>
      <w:r>
        <w:rPr>
          <w:rFonts w:ascii="Times New Roman" w:hAnsi="Times New Roman"/>
          <w:i/>
          <w:sz w:val="20"/>
        </w:rPr>
        <w:t>. Evidence of Compliance with Conditions Precedent; Certificates and Opinions of Counsel to Trustee</w:t>
      </w:r>
      <w:r>
        <w:rPr>
          <w:rFonts w:ascii="Times New Roman" w:hAnsi="Times New Roman"/>
          <w:sz w:val="20"/>
        </w:rPr>
        <w:t xml:space="preserve">. Upon any application or demand by the Company to the Trustee to take any action under any of the provisions of this Indenture, the Company shall, furnish to the Trustee an Officer’s Certificate and Opinion of Counsel, stating that such action is permitted by the terms of this Indenture and that all conditions precedent to such action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Each Officer’s Certificate and Opinion of Counsel provided for, by or on behalf of the Company in this Indenture and delivered to the Trustee with respect to compliance with this Indenture (other than the Officer’s Certificates provided for in Section 4.08, Section 7.02(h) and Section 8.04)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judgment of such person, such action is permitted by this Indenture and that all conditions precedent to such action have been complied with; </w:t>
      </w:r>
      <w:r>
        <w:rPr>
          <w:rFonts w:ascii="Times New Roman" w:hAnsi="Times New Roman"/>
          <w:i/>
          <w:sz w:val="20"/>
        </w:rPr>
        <w:t>provided</w:t>
      </w:r>
      <w:r>
        <w:rPr>
          <w:rFonts w:ascii="Times New Roman" w:hAnsi="Times New Roman"/>
          <w:sz w:val="20"/>
        </w:rPr>
        <w:t xml:space="preserve"> that no Opinion of Counsel shall be required to be delivered in connection with (1) the original issuance of Notes on the date hereof under this Indenture, (2) [reserved], or (3) a request by the Company that the Trustee deliver a notice to Holders under this Indenture where the Trustee receives an Officer’s Certificate with respect to such notice. With respect to matters of fact, an Opinion of Counsel may rely on an Officer’s Certificate or certificates of public officials.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receive such Opinion of Counsel. </w:t>
      </w:r>
    </w:p>
    <w:p>
      <w:pPr>
        <w:pStyle w:val="TextBody"/>
        <w:bidi w:val="0"/>
        <w:spacing w:before="240" w:after="0"/>
        <w:jc w:val="left"/>
        <w:rPr>
          <w:rFonts w:ascii="Times New Roman" w:hAnsi="Times New Roman"/>
          <w:sz w:val="20"/>
        </w:rPr>
      </w:pPr>
      <w:r>
        <w:rPr>
          <w:rFonts w:ascii="Times New Roman" w:hAnsi="Times New Roman"/>
          <w:sz w:val="20"/>
        </w:rPr>
        <w:t>Section 17.06</w:t>
      </w:r>
      <w:r>
        <w:rPr>
          <w:rFonts w:ascii="Times New Roman" w:hAnsi="Times New Roman"/>
          <w:i/>
          <w:sz w:val="20"/>
        </w:rPr>
        <w:t>. Legal Holidays</w:t>
      </w:r>
      <w:r>
        <w:rPr>
          <w:rFonts w:ascii="Times New Roman" w:hAnsi="Times New Roman"/>
          <w:sz w:val="20"/>
        </w:rPr>
        <w:t xml:space="preserve">. In any case where any Interest Payment Date, any Fundamental Change Repurchase Date, any Redemption Date or the Maturity Date is not a Business Day or is a day on which financial institutions located in the state in which the Corporate Trust Office is located are authorized or required by law or executive order to close or be closed, then any action to be taken on such date need not be taken on such date, but may be taken on the next succeeding Business Day that is not a day on which financial institutions located in the state in which the Corporate Trust Office is located are authorized or required by law or executive order to close or be closed with the same force and effect as if taken on such date, and no interest shall accrue in respect of the delay. </w:t>
      </w:r>
    </w:p>
    <w:p>
      <w:pPr>
        <w:pStyle w:val="TextBody"/>
        <w:bidi w:val="0"/>
        <w:spacing w:before="240" w:after="0"/>
        <w:jc w:val="left"/>
        <w:rPr>
          <w:rFonts w:ascii="Times New Roman" w:hAnsi="Times New Roman"/>
          <w:sz w:val="20"/>
        </w:rPr>
      </w:pPr>
      <w:r>
        <w:rPr>
          <w:rFonts w:ascii="Times New Roman" w:hAnsi="Times New Roman"/>
          <w:sz w:val="20"/>
        </w:rPr>
        <w:t>Section 17.07</w:t>
      </w:r>
      <w:r>
        <w:rPr>
          <w:rFonts w:ascii="Times New Roman" w:hAnsi="Times New Roman"/>
          <w:i/>
          <w:sz w:val="20"/>
        </w:rPr>
        <w:t>. No Security Interest Created</w:t>
      </w:r>
      <w:r>
        <w:rPr>
          <w:rFonts w:ascii="Times New Roman" w:hAnsi="Times New Roman"/>
          <w:sz w:val="20"/>
        </w:rPr>
        <w:t xml:space="preserve">. Nothing in this Indenture or in the Notes, expressed or implied, shall be construed to constitute a security interest under the Uniform Commercial Code or similar legislation, as now or hereafter enacted and in effect, in any jurisdiction. </w:t>
      </w:r>
    </w:p>
    <w:p>
      <w:pPr>
        <w:pStyle w:val="TextBody"/>
        <w:bidi w:val="0"/>
        <w:spacing w:before="240" w:after="0"/>
        <w:jc w:val="left"/>
        <w:rPr>
          <w:rFonts w:ascii="Times New Roman" w:hAnsi="Times New Roman"/>
          <w:sz w:val="20"/>
        </w:rPr>
      </w:pPr>
      <w:r>
        <w:rPr>
          <w:rFonts w:ascii="Times New Roman" w:hAnsi="Times New Roman"/>
          <w:sz w:val="20"/>
        </w:rPr>
        <w:t>Section 17.08</w:t>
      </w:r>
      <w:r>
        <w:rPr>
          <w:rFonts w:ascii="Times New Roman" w:hAnsi="Times New Roman"/>
          <w:i/>
          <w:sz w:val="20"/>
        </w:rPr>
        <w:t>. Benefits of Indenture</w:t>
      </w:r>
      <w:r>
        <w:rPr>
          <w:rFonts w:ascii="Times New Roman" w:hAnsi="Times New Roman"/>
          <w:sz w:val="20"/>
        </w:rPr>
        <w:t xml:space="preserve">. Nothing in this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this Indenture. </w:t>
      </w:r>
    </w:p>
    <w:p>
      <w:pPr>
        <w:pStyle w:val="TextBody"/>
        <w:bidi w:val="0"/>
        <w:spacing w:before="240" w:after="0"/>
        <w:jc w:val="left"/>
        <w:rPr>
          <w:rFonts w:ascii="Times New Roman" w:hAnsi="Times New Roman"/>
          <w:sz w:val="20"/>
        </w:rPr>
      </w:pPr>
      <w:r>
        <w:rPr>
          <w:rFonts w:ascii="Times New Roman" w:hAnsi="Times New Roman"/>
          <w:sz w:val="20"/>
        </w:rPr>
        <w:t>Section 17.09</w:t>
      </w:r>
      <w:r>
        <w:rPr>
          <w:rFonts w:ascii="Times New Roman" w:hAnsi="Times New Roman"/>
          <w:i/>
          <w:sz w:val="20"/>
        </w:rPr>
        <w:t>. Table of Contents, Headings, Etc..</w:t>
      </w:r>
      <w:r>
        <w:rPr>
          <w:rFonts w:ascii="Times New Roman" w:hAnsi="Times New Roman"/>
          <w:sz w:val="20"/>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Section 17.10</w:t>
      </w:r>
      <w:r>
        <w:rPr>
          <w:rFonts w:ascii="Times New Roman" w:hAnsi="Times New Roman"/>
          <w:i/>
          <w:sz w:val="20"/>
        </w:rPr>
        <w:t>. Authenticating Agent</w:t>
      </w:r>
      <w:r>
        <w:rPr>
          <w:rFonts w:ascii="Times New Roman" w:hAnsi="Times New Roman"/>
          <w:sz w:val="20"/>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all or substantially all of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corporation or other entity. </w:t>
      </w:r>
    </w:p>
    <w:p>
      <w:pPr>
        <w:pStyle w:val="TextBody"/>
        <w:bidi w:val="0"/>
        <w:spacing w:before="240" w:after="0"/>
        <w:jc w:val="left"/>
        <w:rPr>
          <w:rFonts w:ascii="Times New Roman" w:hAnsi="Times New Roman"/>
          <w:sz w:val="20"/>
        </w:rPr>
      </w:pPr>
      <w:r>
        <w:rPr>
          <w:rFonts w:ascii="Times New Roman" w:hAnsi="Times New Roman"/>
          <w:sz w:val="20"/>
        </w:rPr>
        <w:t xml:space="preserve">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17.10, the Trustee may appoint a successor authenticating agent (which may be the Trustee), shall give written notice of such appointment to the Company and shall deliver notice of such appointment to all Holders.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agrees to pay to the authenticating agent from time to time reasonable compensation for its services although the Company may terminate the authenticating agent, if it determines such agent’s fees to be unreasonable.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Section 7.02, Section 7.03, Section 7.04, Section 8.03 and this Section 17.10 shall be applicable to any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If an authenticating agent is appointed pursuant to this Section 17.10, the Notes may have endorsed thereon, in addition to the Trustee’s certificate of authentication, an alternative certificate of authentication in the following form: </w:t>
      </w:r>
    </w:p>
    <w:p>
      <w:pPr>
        <w:pStyle w:val="TextBody"/>
        <w:bidi w:val="0"/>
        <w:spacing w:before="240" w:after="0"/>
        <w:jc w:val="left"/>
        <w:rPr>
          <w:rFonts w:ascii="Times New Roman" w:hAnsi="Times New Roman"/>
          <w:sz w:val="20"/>
        </w:rPr>
      </w:pPr>
      <w:r>
        <w:rPr>
          <w:rFonts w:ascii="Times New Roman" w:hAnsi="Times New Roman"/>
          <w:sz w:val="20"/>
        </w:rPr>
        <w:t xml:space="preserve">__________________________, </w:t>
      </w:r>
    </w:p>
    <w:p>
      <w:pPr>
        <w:pStyle w:val="TextBody"/>
        <w:bidi w:val="0"/>
        <w:spacing w:before="0" w:after="0"/>
        <w:jc w:val="left"/>
        <w:rPr>
          <w:rFonts w:ascii="Times New Roman" w:hAnsi="Times New Roman"/>
          <w:sz w:val="20"/>
        </w:rPr>
      </w:pPr>
      <w:r>
        <w:rPr>
          <w:rFonts w:ascii="Times New Roman" w:hAnsi="Times New Roman"/>
          <w:sz w:val="20"/>
        </w:rPr>
        <w:t xml:space="preserve">as Authenticating Agent, certifies that this is one of the Notes described </w:t>
      </w:r>
    </w:p>
    <w:p>
      <w:pPr>
        <w:pStyle w:val="TextBody"/>
        <w:bidi w:val="0"/>
        <w:spacing w:before="0" w:after="0"/>
        <w:jc w:val="left"/>
        <w:rPr>
          <w:rFonts w:ascii="Times New Roman" w:hAnsi="Times New Roman"/>
          <w:sz w:val="20"/>
        </w:rPr>
      </w:pPr>
      <w:r>
        <w:rPr>
          <w:rFonts w:ascii="Times New Roman" w:hAnsi="Times New Roman"/>
          <w:sz w:val="20"/>
        </w:rPr>
        <w:t xml:space="preserve">in the within-named Indenture. </w:t>
      </w:r>
    </w:p>
    <w:p>
      <w:pPr>
        <w:pStyle w:val="TextBody"/>
        <w:bidi w:val="0"/>
        <w:spacing w:before="240" w:after="0"/>
        <w:jc w:val="left"/>
        <w:rPr>
          <w:rFonts w:ascii="Times New Roman" w:hAnsi="Times New Roman"/>
          <w:sz w:val="20"/>
        </w:rPr>
      </w:pPr>
      <w:r>
        <w:rPr>
          <w:rFonts w:ascii="Times New Roman" w:hAnsi="Times New Roman"/>
          <w:sz w:val="20"/>
        </w:rPr>
        <w:t xml:space="preserve">By: ____________________ </w:t>
      </w:r>
    </w:p>
    <w:p>
      <w:pPr>
        <w:pStyle w:val="TextBody"/>
        <w:bidi w:val="0"/>
        <w:spacing w:before="0" w:after="0"/>
        <w:jc w:val="left"/>
        <w:rPr>
          <w:rFonts w:ascii="Times New Roman" w:hAnsi="Times New Roman"/>
          <w:sz w:val="20"/>
        </w:rPr>
      </w:pPr>
      <w:r>
        <w:rPr>
          <w:rFonts w:ascii="Times New Roman" w:hAnsi="Times New Roman"/>
          <w:sz w:val="20"/>
        </w:rPr>
        <w:t xml:space="preserve">Authorized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17.11. </w:t>
      </w:r>
      <w:r>
        <w:rPr>
          <w:rFonts w:ascii="Times New Roman" w:hAnsi="Times New Roman"/>
          <w:i/>
          <w:sz w:val="20"/>
        </w:rPr>
        <w:t>Execution in Counterparts</w:t>
      </w:r>
      <w:r>
        <w:rPr>
          <w:rFonts w:ascii="Times New Roman" w:hAnsi="Times New Roman"/>
          <w:sz w:val="20"/>
        </w:rPr>
        <w:t xml:space="preserve">. This Indenture may be executed in any number of counterparts, each of which shall be an original, but such counterparts shall together constitute but one and the same instrument.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transmission shall constitute effective execution and delivery of this Indenture as to the other parties hereto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sz w:val="20"/>
        </w:rPr>
        <w:t>Section 17.12</w:t>
      </w:r>
      <w:r>
        <w:rPr>
          <w:rFonts w:ascii="Times New Roman" w:hAnsi="Times New Roman"/>
          <w:i/>
          <w:sz w:val="20"/>
        </w:rPr>
        <w:t>. Severability</w:t>
      </w:r>
      <w:r>
        <w:rPr>
          <w:rFonts w:ascii="Times New Roman" w:hAnsi="Times New Roman"/>
          <w:sz w:val="20"/>
        </w:rPr>
        <w:t xml:space="preserve">. In the event any provision of this Indenture or in the Notes shall be invalid, illegal or unenforceable, then (to the extent permitted by law) the validity, legality or enforceability of the remaining provisions shall not in any way be affected or impaired. </w:t>
      </w:r>
    </w:p>
    <w:p>
      <w:pPr>
        <w:pStyle w:val="TextBody"/>
        <w:bidi w:val="0"/>
        <w:spacing w:before="240" w:after="0"/>
        <w:jc w:val="left"/>
        <w:rPr>
          <w:rFonts w:ascii="Times New Roman" w:hAnsi="Times New Roman"/>
          <w:sz w:val="20"/>
        </w:rPr>
      </w:pPr>
      <w:r>
        <w:rPr>
          <w:rFonts w:ascii="Times New Roman" w:hAnsi="Times New Roman"/>
          <w:sz w:val="20"/>
        </w:rPr>
        <w:t>Section 17.13</w:t>
      </w:r>
      <w:r>
        <w:rPr>
          <w:rFonts w:ascii="Times New Roman" w:hAnsi="Times New Roman"/>
          <w:i/>
          <w:sz w:val="20"/>
        </w:rPr>
        <w:t>. Waiver of Jury Trial</w:t>
      </w:r>
      <w:r>
        <w:rPr>
          <w:rFonts w:ascii="Times New Roman" w:hAnsi="Times New Roman"/>
          <w:sz w:val="20"/>
        </w:rPr>
        <w:t xml:space="preserve">. EACH OF THE COMPANY AND THE TRUSTEE HEREBY IRREVOCABLY WAIVES, TO THE FULLEST EXTENT PERMITTED BY APPLICABLE LAW, ANY AND ALL RIGHT TO TRIAL BY JURY IN ANY LEGAL PROCEEDING ARISING OUT OF OR RELATING TO THIS INDENTURE, THE NOTES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Section 17.14</w:t>
      </w:r>
      <w:r>
        <w:rPr>
          <w:rFonts w:ascii="Times New Roman" w:hAnsi="Times New Roman"/>
          <w:i/>
          <w:sz w:val="20"/>
        </w:rPr>
        <w:t>. Force Majeure</w:t>
      </w:r>
      <w:r>
        <w:rPr>
          <w:rFonts w:ascii="Times New Roman" w:hAnsi="Times New Roman"/>
          <w:sz w:val="20"/>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pandemics, epidemics, quarantine restrictions, recognized public emergencies, civil or military disturbances, nuclear or natural catastrophes or acts of God, and interruptions, loss or malfunctions of utilities, communications or computer (software and hardware) services; communications system failure, malware or ransomware or unavailability of the Federal Reserve Bank wire or telex system or other wire or other funds transfer systems, or unavailability of any securities clearing system; it being understood that the Trustee shall use reasonable efforts that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Section 17.15</w:t>
      </w:r>
      <w:r>
        <w:rPr>
          <w:rFonts w:ascii="Times New Roman" w:hAnsi="Times New Roman"/>
          <w:i/>
          <w:sz w:val="20"/>
        </w:rPr>
        <w:t>. Calculations</w:t>
      </w:r>
      <w:r>
        <w:rPr>
          <w:rFonts w:ascii="Times New Roman" w:hAnsi="Times New Roman"/>
          <w:sz w:val="20"/>
        </w:rPr>
        <w:t xml:space="preserve">. Except as otherwise provided herein, the Company shall be responsible for making all calculations called for under this Indenture and the Notes. These calculations include, but are not limited to, determinations of the Last Reported Sale Prices of the Common Stock, the trading price of the Notes (for purposes of determining whether the Notes are convertible as described herein), the Daily VWAPs, the Daily Conversion Values, the Daily Settlement Amounts, the amount of conversion consideration deliverable in respect of any conversions, accrued interest payable on the Notes (including Share Interest or Additional Interest), the Redemption Price and the Conversion Rate and Conversion Price of the Notes (or any adjustments to such Conversion Rate or Conversion Price). The Company shall make all these calculations in good faith and, absent manifest error, the Company’s calculations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final and binding on Holders of Notes. The Company shall provide a schedule of its calculations to each of the Trustee, the Paying Agent (if other than the Trustee) and the Conversion Agent (if other than the Trustee), and each of the Trustee, the Paying Agent and the Conversion Agent is entitled to rely conclusively upon the accuracy of the Company’s calculations without independent verification. The Trustee will forward the Company’s calculations to any Holder of Notes upon the request of that Holder at the sole cost and expense of the Company. The Trustee, Paying Agent and Conversion Agent have no responsibility for the calculations under this Indenture or the Notes or verifying the Company’s calculations. </w:t>
      </w:r>
    </w:p>
    <w:p>
      <w:pPr>
        <w:pStyle w:val="TextBody"/>
        <w:bidi w:val="0"/>
        <w:spacing w:before="240" w:after="0"/>
        <w:jc w:val="left"/>
        <w:rPr>
          <w:rFonts w:ascii="Times New Roman" w:hAnsi="Times New Roman"/>
          <w:sz w:val="20"/>
        </w:rPr>
      </w:pPr>
      <w:r>
        <w:rPr>
          <w:rFonts w:ascii="Times New Roman" w:hAnsi="Times New Roman"/>
          <w:sz w:val="20"/>
        </w:rPr>
        <w:t xml:space="preserve">Section 17.16. </w:t>
      </w:r>
      <w:r>
        <w:rPr>
          <w:rFonts w:ascii="Times New Roman" w:hAnsi="Times New Roman"/>
          <w:i/>
          <w:sz w:val="20"/>
        </w:rPr>
        <w:t xml:space="preserve">USA PATRIOT Act. </w:t>
      </w:r>
      <w:r>
        <w:rPr>
          <w:rFonts w:ascii="Times New Roman" w:hAnsi="Times New Roman"/>
          <w:sz w:val="20"/>
        </w:rPr>
        <w:t xml:space="preserve">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17.17. </w:t>
      </w:r>
      <w:r>
        <w:rPr>
          <w:rFonts w:ascii="Times New Roman" w:hAnsi="Times New Roman"/>
          <w:i/>
          <w:sz w:val="20"/>
        </w:rPr>
        <w:t>Electronic Signatures</w:t>
      </w:r>
      <w:r>
        <w:rPr>
          <w:rFonts w:ascii="Times New Roman" w:hAnsi="Times New Roman"/>
          <w:sz w:val="20"/>
        </w:rPr>
        <w:t xml:space="preserve">. All notices, approvals, consents, requests and any communications hereunder must be in writing (provided that any communication sent to the Trustee hereunder must be in the form of a document that is signed manually or by way of a digital signature provided by DocuSign (or such other digital signature provider as specified in writing to Trustee by the authorized representative), in English).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AEVA TECHNOLOGIES,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Soroush Salehian Dardashti</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Soroush Salehian Dardashti</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Chief Executive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Quinton M. DePompolo</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Quinton M. DePompolo</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Indenture]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4.11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Existing Affiliate Transaction Agreements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certain Agreement, by and among Aeva Technologies, Inc., Sylebra Capital Limited and each of the other related Persons party thereto, dated as of September 27,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certain Shareholder Agreement, by and among AEVA Technologies, Inc. and the Investors party thereto, dated as of November 8,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certain Standby Equity Purchase Agreement, by and among AEVA Technologies, Inc. and the Investors party thereto, dated as of November 8,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certain Amendment to Standby Equity Purchase Agreement, by and among AEVA Technologies, Inc. and the Investors party thereto, dated as of September 5,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certain Share Subscription Agreement, by and among Aeva Technologies, Inc. and LG Innotek Co., Ltd., dated as of May 13, 2025.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[FORM OF FACE OF NOTE] </w:t>
      </w:r>
    </w:p>
    <w:p>
      <w:pPr>
        <w:pStyle w:val="TextBody"/>
        <w:bidi w:val="0"/>
        <w:spacing w:before="240" w:after="0"/>
        <w:jc w:val="center"/>
        <w:rPr>
          <w:rFonts w:ascii="Times New Roman" w:hAnsi="Times New Roman"/>
          <w:sz w:val="20"/>
        </w:rPr>
      </w:pPr>
      <w:r>
        <w:rPr>
          <w:rFonts w:ascii="Times New Roman" w:hAnsi="Times New Roman"/>
          <w:sz w:val="20"/>
        </w:rPr>
        <w:t xml:space="preserve">[INCLUDE FOLLOWING LEGEND IF A GLOBAL NOTE]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480" w:after="0"/>
        <w:jc w:val="center"/>
        <w:rPr>
          <w:rFonts w:ascii="Times New Roman" w:hAnsi="Times New Roman"/>
          <w:sz w:val="20"/>
        </w:rPr>
      </w:pPr>
      <w:r>
        <w:rPr>
          <w:rFonts w:ascii="Times New Roman" w:hAnsi="Times New Roman"/>
          <w:sz w:val="20"/>
        </w:rPr>
        <w:t xml:space="preserve">[INCLUDE FOLLOWING LEGEND IF A RESTRICTED SECURITY] </w:t>
      </w:r>
    </w:p>
    <w:p>
      <w:pPr>
        <w:pStyle w:val="TextBody"/>
        <w:bidi w:val="0"/>
        <w:spacing w:before="240" w:after="0"/>
        <w:jc w:val="left"/>
        <w:rPr>
          <w:rFonts w:ascii="Times New Roman" w:hAnsi="Times New Roman"/>
          <w:sz w:val="20"/>
        </w:rPr>
      </w:pPr>
      <w:r>
        <w:rPr>
          <w:rFonts w:ascii="Times New Roman" w:hAnsi="Times New Roman"/>
          <w:sz w:val="20"/>
        </w:rPr>
        <w:t xml:space="preserve">[THIS SECURITY AND THE COMMON STOCK, IF ANY, ISSUABLE UPON CONVERSION OF, OR THE PAYMENT OF INTEREST ON,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 </w:t>
      </w:r>
    </w:p>
    <w:p>
      <w:pPr>
        <w:pStyle w:val="TextBody"/>
        <w:bidi w:val="0"/>
        <w:spacing w:before="120" w:after="0"/>
        <w:jc w:val="left"/>
        <w:rPr>
          <w:rFonts w:ascii="Times New Roman" w:hAnsi="Times New Roman"/>
          <w:sz w:val="20"/>
        </w:rPr>
      </w:pPr>
      <w:r>
        <w:rPr>
          <w:rFonts w:ascii="Times New Roman" w:hAnsi="Times New Roman"/>
          <w:sz w:val="20"/>
        </w:rPr>
        <w:t xml:space="preserve">(1) REPRESENTS THAT IT AND ANY ACCOUNT FOR WHICH IT IS ACTING IS A “QUALIFIED INSTITUTIONAL BUYER” (WITHIN THE MEANING OF RULE 144A UNDER THE SECURITIES ACT) AND THAT IT EXERCISES SOLE INVESTMENT DISCRETION WITH RESPECT TO EACH SUCH ACCOUNT, AND </w:t>
      </w:r>
    </w:p>
    <w:p>
      <w:pPr>
        <w:pStyle w:val="TextBody"/>
        <w:bidi w:val="0"/>
        <w:spacing w:before="120" w:after="0"/>
        <w:jc w:val="left"/>
        <w:rPr>
          <w:rFonts w:ascii="Times New Roman" w:hAnsi="Times New Roman"/>
          <w:sz w:val="20"/>
        </w:rPr>
      </w:pPr>
      <w:r>
        <w:rPr>
          <w:rFonts w:ascii="Times New Roman" w:hAnsi="Times New Roman"/>
          <w:sz w:val="20"/>
        </w:rPr>
        <w:t xml:space="preserve">(2) AGREES FOR THE BENEFIT OF AEVA TECHNOLOGIES, INC. (THE “COMPANY”) THAT IT WILL NOT OFFER, SELL, PLEDGE OR OTHERWISE TRANSFER THIS SECURITY AND THE COMMON STOCK, IF ANY, ISSUABLE UPON CONVERSION OF THIS SECURITY, OR ANY BENEFICIAL INTEREST HEREIN OR THEREIN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 </w:t>
      </w:r>
    </w:p>
    <w:p>
      <w:pPr>
        <w:pStyle w:val="TextBody"/>
        <w:bidi w:val="0"/>
        <w:spacing w:before="120" w:after="0"/>
        <w:jc w:val="left"/>
        <w:rPr>
          <w:rFonts w:ascii="Times New Roman" w:hAnsi="Times New Roman"/>
          <w:sz w:val="20"/>
        </w:rPr>
      </w:pPr>
      <w:r>
        <w:rPr>
          <w:rFonts w:ascii="Times New Roman" w:hAnsi="Times New Roman"/>
          <w:sz w:val="20"/>
        </w:rPr>
        <w:t xml:space="preserve">(A) TO THE COMPANY OR ANY SUBSIDIARY THEREOF,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PURSUANT TO A REGISTRATION STATEMENT WHICH HAS BECOME EFFECTIVE UNDER THE SECURITIES ACT, OR </w:t>
      </w:r>
    </w:p>
    <w:p>
      <w:pPr>
        <w:pStyle w:val="TextBody"/>
        <w:bidi w:val="0"/>
        <w:spacing w:before="120" w:after="0"/>
        <w:jc w:val="left"/>
        <w:rPr>
          <w:rFonts w:ascii="Times New Roman" w:hAnsi="Times New Roman"/>
          <w:sz w:val="20"/>
        </w:rPr>
      </w:pPr>
      <w:r>
        <w:rPr>
          <w:rFonts w:ascii="Times New Roman" w:hAnsi="Times New Roman"/>
          <w:sz w:val="20"/>
        </w:rPr>
        <w:t xml:space="preserve">(C) TO A PERSON REASONABLY BELIEVED TO BE A QUALIFIED INSTITUTIONAL BUYER IN COMPLIANCE WITH RULE 144A UNDER THE SECURITIES ACT, OR </w:t>
      </w:r>
    </w:p>
    <w:p>
      <w:pPr>
        <w:pStyle w:val="TextBody"/>
        <w:bidi w:val="0"/>
        <w:spacing w:before="120" w:after="0"/>
        <w:jc w:val="left"/>
        <w:rPr>
          <w:rFonts w:ascii="Times New Roman" w:hAnsi="Times New Roman"/>
          <w:sz w:val="20"/>
        </w:rPr>
      </w:pPr>
      <w:r>
        <w:rPr>
          <w:rFonts w:ascii="Times New Roman" w:hAnsi="Times New Roman"/>
          <w:sz w:val="20"/>
        </w:rPr>
        <w:t xml:space="preserve">(D) PURSUANT TO AN EXEMPTION FROM REGISTRATION PROVIDED BY RULE 144 UNDER THE SECURITIES ACT OR ANY OTHER AVAILABLE EXEMPTION FROM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AEVA Technologies, Inc. </w:t>
      </w:r>
    </w:p>
    <w:p>
      <w:pPr>
        <w:pStyle w:val="TextBody"/>
        <w:bidi w:val="0"/>
        <w:spacing w:before="240" w:after="0"/>
        <w:jc w:val="center"/>
        <w:rPr>
          <w:rFonts w:ascii="Times New Roman" w:hAnsi="Times New Roman"/>
          <w:sz w:val="20"/>
        </w:rPr>
      </w:pPr>
      <w:r>
        <w:rPr>
          <w:rFonts w:ascii="Times New Roman" w:hAnsi="Times New Roman"/>
          <w:sz w:val="20"/>
        </w:rPr>
        <w:t xml:space="preserve">4.375% Convertible Senior Note due 2032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23"/>
        <w:gridCol w:w="123"/>
        <w:gridCol w:w="4959"/>
      </w:tblGrid>
      <w:tr>
        <w:trPr/>
        <w:tc>
          <w:tcPr>
            <w:tcW w:w="512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59" w:type="dxa"/>
            <w:tcBorders/>
            <w:vAlign w:val="center"/>
          </w:tcPr>
          <w:p>
            <w:pPr>
              <w:pStyle w:val="TableContents"/>
              <w:bidi w:val="0"/>
              <w:spacing w:before="0" w:after="283"/>
              <w:jc w:val="left"/>
              <w:rPr>
                <w:sz w:val="4"/>
                <w:szCs w:val="4"/>
              </w:rPr>
            </w:pPr>
            <w:r>
              <w:rPr>
                <w:sz w:val="4"/>
                <w:szCs w:val="4"/>
              </w:rPr>
            </w:r>
          </w:p>
        </w:tc>
      </w:tr>
      <w:tr>
        <w:trPr/>
        <w:tc>
          <w:tcPr>
            <w:tcW w:w="5123" w:type="dxa"/>
            <w:tcBorders/>
          </w:tcPr>
          <w:p>
            <w:pPr>
              <w:pStyle w:val="TableContents"/>
              <w:bidi w:val="0"/>
              <w:spacing w:before="0" w:after="283"/>
              <w:jc w:val="left"/>
              <w:rPr/>
            </w:pPr>
            <w:r>
              <w:rPr/>
              <w:t>No. [_____]</w:t>
            </w:r>
          </w:p>
        </w:tc>
        <w:tc>
          <w:tcPr>
            <w:tcW w:w="123" w:type="dxa"/>
            <w:tcBorders/>
            <w:vAlign w:val="bottom"/>
          </w:tcPr>
          <w:p>
            <w:pPr>
              <w:pStyle w:val="TableContents"/>
              <w:bidi w:val="0"/>
              <w:spacing w:before="0" w:after="283"/>
              <w:jc w:val="left"/>
              <w:rPr/>
            </w:pPr>
            <w:r>
              <w:rPr/>
              <w:t>  </w:t>
            </w:r>
          </w:p>
        </w:tc>
        <w:tc>
          <w:tcPr>
            <w:tcW w:w="4959" w:type="dxa"/>
            <w:tcBorders/>
          </w:tcPr>
          <w:p>
            <w:pPr>
              <w:pStyle w:val="TableContents"/>
              <w:bidi w:val="0"/>
              <w:spacing w:before="0" w:after="283"/>
              <w:jc w:val="left"/>
              <w:rPr/>
            </w:pPr>
            <w:r>
              <w:rPr/>
              <w:t>[Initially]1 $100,000,000</w:t>
            </w:r>
          </w:p>
        </w:tc>
      </w:tr>
      <w:tr>
        <w:trPr>
          <w:trHeight w:val="120" w:hRule="atLeast"/>
        </w:trPr>
        <w:tc>
          <w:tcPr>
            <w:tcW w:w="5123" w:type="dxa"/>
            <w:tcBorders/>
            <w:vAlign w:val="center"/>
          </w:tcPr>
          <w:p>
            <w:pPr>
              <w:pStyle w:val="TableContents"/>
              <w:bidi w:val="0"/>
              <w:spacing w:before="0" w:after="283"/>
              <w:jc w:val="left"/>
              <w:rPr>
                <w:sz w:val="4"/>
                <w:szCs w:val="4"/>
              </w:rPr>
            </w:pPr>
            <w:r>
              <w:rPr>
                <w:sz w:val="4"/>
                <w:szCs w:val="4"/>
              </w:rPr>
            </w:r>
          </w:p>
        </w:tc>
        <w:tc>
          <w:tcPr>
            <w:tcW w:w="5082" w:type="dxa"/>
            <w:gridSpan w:val="2"/>
            <w:tcBorders/>
            <w:vAlign w:val="center"/>
          </w:tcPr>
          <w:p>
            <w:pPr>
              <w:pStyle w:val="TableContents"/>
              <w:bidi w:val="0"/>
              <w:spacing w:before="0" w:after="283"/>
              <w:jc w:val="left"/>
              <w:rPr>
                <w:sz w:val="4"/>
                <w:szCs w:val="4"/>
              </w:rPr>
            </w:pPr>
            <w:r>
              <w:rPr>
                <w:sz w:val="4"/>
                <w:szCs w:val="4"/>
              </w:rPr>
            </w:r>
          </w:p>
        </w:tc>
      </w:tr>
      <w:tr>
        <w:trPr/>
        <w:tc>
          <w:tcPr>
            <w:tcW w:w="5123" w:type="dxa"/>
            <w:tcBorders/>
          </w:tcPr>
          <w:p>
            <w:pPr>
              <w:pStyle w:val="TableContents"/>
              <w:bidi w:val="0"/>
              <w:spacing w:before="0" w:after="283"/>
              <w:jc w:val="left"/>
              <w:rPr/>
            </w:pPr>
            <w:r>
              <w:rPr/>
              <w:t>CUSIP No. 00835Q AA12</w:t>
            </w:r>
          </w:p>
        </w:tc>
        <w:tc>
          <w:tcPr>
            <w:tcW w:w="123" w:type="dxa"/>
            <w:tcBorders/>
            <w:vAlign w:val="bottom"/>
          </w:tcPr>
          <w:p>
            <w:pPr>
              <w:pStyle w:val="TableContents"/>
              <w:bidi w:val="0"/>
              <w:spacing w:before="0" w:after="283"/>
              <w:jc w:val="left"/>
              <w:rPr/>
            </w:pPr>
            <w:r>
              <w:rPr/>
              <w:t>  </w:t>
            </w:r>
          </w:p>
        </w:tc>
        <w:tc>
          <w:tcPr>
            <w:tcW w:w="4959"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AEVA Technology, Inc., a corporation duly organized and validly existing under the laws of the State of Delaware (the “</w:t>
      </w:r>
      <w:r>
        <w:rPr>
          <w:rFonts w:ascii="Times New Roman" w:hAnsi="Times New Roman"/>
          <w:b/>
          <w:sz w:val="20"/>
        </w:rPr>
        <w:t>Company</w:t>
      </w:r>
      <w:r>
        <w:rPr>
          <w:rFonts w:ascii="Times New Roman" w:hAnsi="Times New Roman"/>
          <w:sz w:val="20"/>
        </w:rPr>
        <w:t xml:space="preserve">,” which term includes any successor corporation or other entity under the Indenture referred to on the reverse hereof), for value received hereby promises to pay to [CEDE &amp; CO.]3 [_______]4, or registered assigns, the principal sum [as set forth in the “Schedule of Exchanges of Notes” attached hereto]5 [of $[_______]]6, which amount, taken together with the principal amounts of all other outstanding Notes, shall not, unless permitted by the Indenture, exceed $100,000,000 in aggregate at any time, in accordance with the rules and applicable procedures of the Depositary, on November 15, 2032, and interest thereon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This Note shall bear interest at the rate of 4.375% per year from November 6, 2025, or from the most recent date to which interest has been paid or provided for to, but excluding, the next scheduled Interest Payment Date. Interest is payable semi-annually in arrears on each May 15 and November 15, commencing on May 15, 2026, to Holders of record at the close of business on the preceding May 1 and November 1 (whether or not such day is a Business Day), respectively. Additional Interest will be payable as set forth in Section 4.06(d) and Section 6.03 of the within-mentioned Indenture, and any reference to interest on, or in respect of, any Note therein shall be deemed to include Additional Interest if, in such context, Additional Interest is, was or would be payable pursuant to any of such Section 4.06(d) or Section 6.03, and any express mention of the payment of Additional Interest in any provision therein shall not be construed as excluding Additional Interest in those provisions thereof where such express mention is not made. </w:t>
      </w:r>
    </w:p>
    <w:p>
      <w:pPr>
        <w:pStyle w:val="TextBody"/>
        <w:bidi w:val="0"/>
        <w:spacing w:before="240" w:after="0"/>
        <w:jc w:val="left"/>
        <w:rPr>
          <w:rFonts w:ascii="Times New Roman" w:hAnsi="Times New Roman"/>
          <w:sz w:val="20"/>
        </w:rPr>
      </w:pPr>
      <w:r>
        <w:rPr>
          <w:rFonts w:ascii="Times New Roman" w:hAnsi="Times New Roman"/>
          <w:sz w:val="20"/>
        </w:rPr>
        <w:t xml:space="preserve">Any Defaulted Amounts shall accrue interest per annum at the rate borne by the Notes, subject to the enforceability thereof under applicable law, from, and including, the relevant payment date to, but excluding, the date on which such Defaulted Amounts shall have been paid by the Company, at its election, in accordance with Section 2.03(c) of the Indenture.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if a global note.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Note will be deemed to be identified by CUSIP No. 00835Q AB9 from and after such time when (i) the Company delivers written notice to the Trustee for the removal of the restrictive legend affixed to this Note and (ii) this Note is identified by such CUSIP number in accordance with the applicable procedures of the Depositary.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if a global note.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if a physical note.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if a global note.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if a physical note.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shall pay, or cause the Paying Agent to pay, the principal of and interest on this Note, if and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Corporate Trust Office in the continental United States of America as a place where Notes may be presented for payment or for registration of transfer and exchange.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further provisions of this Note set forth on the reverse hereof, including, without limitation, provisions giving the Holder of this Note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 </w:t>
      </w:r>
    </w:p>
    <w:p>
      <w:pPr>
        <w:pStyle w:val="TextBody"/>
        <w:bidi w:val="0"/>
        <w:spacing w:before="240" w:after="0"/>
        <w:jc w:val="left"/>
        <w:rPr>
          <w:rFonts w:ascii="Times New Roman" w:hAnsi="Times New Roman"/>
          <w:b/>
          <w:sz w:val="20"/>
        </w:rPr>
      </w:pPr>
      <w:r>
        <w:rPr>
          <w:rFonts w:ascii="Times New Roman" w:hAnsi="Times New Roman"/>
          <w:b/>
          <w:sz w:val="20"/>
        </w:rPr>
        <w:t xml:space="preserve">This Note, and any claim, controversy or dispute arising under or related to this Note, shall be construed in accordance with and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conflict between this Note and the Indenture, the provisions of the Indenture shall control and govern. </w:t>
      </w:r>
    </w:p>
    <w:p>
      <w:pPr>
        <w:pStyle w:val="TextBody"/>
        <w:bidi w:val="0"/>
        <w:spacing w:before="240" w:after="0"/>
        <w:jc w:val="left"/>
        <w:rPr>
          <w:rFonts w:ascii="Times New Roman" w:hAnsi="Times New Roman"/>
          <w:sz w:val="20"/>
        </w:rPr>
      </w:pPr>
      <w:r>
        <w:rPr>
          <w:rFonts w:ascii="Times New Roman" w:hAnsi="Times New Roman"/>
          <w:sz w:val="20"/>
        </w:rPr>
        <w:t xml:space="preserve">This Note shall not be valid or become obligatory for any purpose until the certificate of authentication hereon shall have been signed manually by the Trustee or a duly authorized authenticating agent under the Indenture.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Note to be duly executed.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0"/>
        <w:gridCol w:w="122"/>
        <w:gridCol w:w="3290"/>
      </w:tblGrid>
      <w:tr>
        <w:trPr/>
        <w:tc>
          <w:tcPr>
            <w:tcW w:w="67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9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AEVA TECHNOLOGIES, INC.</w:t>
            </w:r>
          </w:p>
        </w:tc>
      </w:tr>
      <w:tr>
        <w:trPr>
          <w:trHeight w:val="240" w:hRule="atLeast"/>
        </w:trPr>
        <w:tc>
          <w:tcPr>
            <w:tcW w:w="670" w:type="dxa"/>
            <w:tcBorders/>
            <w:vAlign w:val="center"/>
          </w:tcPr>
          <w:p>
            <w:pPr>
              <w:pStyle w:val="TableContents"/>
              <w:bidi w:val="0"/>
              <w:spacing w:before="0" w:after="283"/>
              <w:jc w:val="left"/>
              <w:rPr>
                <w:sz w:val="4"/>
                <w:szCs w:val="4"/>
              </w:rPr>
            </w:pPr>
            <w:r>
              <w:rPr>
                <w:sz w:val="4"/>
                <w:szCs w:val="4"/>
              </w:rPr>
            </w:r>
          </w:p>
        </w:tc>
        <w:tc>
          <w:tcPr>
            <w:tcW w:w="3412" w:type="dxa"/>
            <w:gridSpan w:val="2"/>
            <w:tcBorders/>
            <w:vAlign w:val="center"/>
          </w:tcPr>
          <w:p>
            <w:pPr>
              <w:pStyle w:val="TableContents"/>
              <w:bidi w:val="0"/>
              <w:spacing w:before="0" w:after="283"/>
              <w:jc w:val="left"/>
              <w:rPr>
                <w:sz w:val="4"/>
                <w:szCs w:val="4"/>
              </w:rPr>
            </w:pPr>
            <w:r>
              <w:rPr>
                <w:sz w:val="4"/>
                <w:szCs w:val="4"/>
              </w:rPr>
            </w:r>
          </w:p>
        </w:tc>
      </w:tr>
      <w:tr>
        <w:trPr/>
        <w:tc>
          <w:tcPr>
            <w:tcW w:w="670" w:type="dxa"/>
            <w:tcBorders/>
          </w:tcPr>
          <w:p>
            <w:pPr>
              <w:pStyle w:val="TableContents"/>
              <w:bidi w:val="0"/>
              <w:spacing w:before="0" w:after="283"/>
              <w:jc w:val="left"/>
              <w:rPr/>
            </w:pPr>
            <w:r>
              <w:rPr/>
              <w:t>By:</w:t>
            </w:r>
          </w:p>
        </w:tc>
        <w:tc>
          <w:tcPr>
            <w:tcW w:w="122" w:type="dxa"/>
            <w:tcBorders/>
            <w:vAlign w:val="bottom"/>
          </w:tcPr>
          <w:p>
            <w:pPr>
              <w:pStyle w:val="TableContents"/>
              <w:bidi w:val="0"/>
              <w:spacing w:before="0" w:after="283"/>
              <w:jc w:val="left"/>
              <w:rPr/>
            </w:pPr>
            <w:r>
              <w:rPr/>
              <w:t> </w:t>
            </w:r>
          </w:p>
        </w:tc>
        <w:tc>
          <w:tcPr>
            <w:tcW w:w="3290" w:type="dxa"/>
            <w:tcBorders/>
          </w:tcPr>
          <w:p>
            <w:pPr>
              <w:pStyle w:val="TableContents"/>
              <w:pBdr>
                <w:bottom w:val="single" w:sz="2" w:space="1" w:color="000000"/>
              </w:pBdr>
              <w:bidi w:val="0"/>
              <w:spacing w:before="0" w:after="20"/>
              <w:jc w:val="left"/>
              <w:rPr/>
            </w:pPr>
            <w:r>
              <w:rPr/>
              <w:t> </w:t>
            </w:r>
          </w:p>
        </w:tc>
      </w:tr>
      <w:tr>
        <w:trPr/>
        <w:tc>
          <w:tcPr>
            <w:tcW w:w="670"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90" w:type="dxa"/>
            <w:tcBorders/>
          </w:tcPr>
          <w:p>
            <w:pPr>
              <w:pStyle w:val="TableContents"/>
              <w:bidi w:val="0"/>
              <w:spacing w:before="0" w:after="283"/>
              <w:jc w:val="left"/>
              <w:rPr/>
            </w:pPr>
            <w:r>
              <w:rPr/>
              <w:t>Name:</w:t>
            </w:r>
          </w:p>
        </w:tc>
      </w:tr>
      <w:tr>
        <w:trPr/>
        <w:tc>
          <w:tcPr>
            <w:tcW w:w="670"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290"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240" w:after="0"/>
        <w:jc w:val="left"/>
        <w:rPr>
          <w:rFonts w:ascii="Times New Roman" w:hAnsi="Times New Roman"/>
          <w:sz w:val="20"/>
        </w:rPr>
      </w:pPr>
      <w:r>
        <w:rPr>
          <w:rFonts w:ascii="Times New Roman" w:hAnsi="Times New Roman"/>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Trustee, certifies that this is one of the Notes described </w:t>
      </w:r>
    </w:p>
    <w:p>
      <w:pPr>
        <w:pStyle w:val="TextBody"/>
        <w:bidi w:val="0"/>
        <w:spacing w:before="0" w:after="0"/>
        <w:jc w:val="left"/>
        <w:rPr>
          <w:rFonts w:ascii="Times New Roman" w:hAnsi="Times New Roman"/>
          <w:sz w:val="20"/>
        </w:rPr>
      </w:pPr>
      <w:r>
        <w:rPr>
          <w:rFonts w:ascii="Times New Roman" w:hAnsi="Times New Roman"/>
          <w:sz w:val="20"/>
        </w:rPr>
        <w:t xml:space="preserve">in the within-named Indenture. </w:t>
      </w:r>
    </w:p>
    <w:p>
      <w:pPr>
        <w:pStyle w:val="TextBody"/>
        <w:bidi w:val="0"/>
        <w:spacing w:before="240" w:after="0"/>
        <w:jc w:val="left"/>
        <w:rPr>
          <w:rFonts w:ascii="Times New Roman" w:hAnsi="Times New Roman"/>
          <w:sz w:val="20"/>
        </w:rPr>
      </w:pPr>
      <w:r>
        <w:rPr>
          <w:rFonts w:ascii="Times New Roman" w:hAnsi="Times New Roman"/>
          <w:sz w:val="20"/>
        </w:rPr>
        <w:t xml:space="preserve">By:_______________________________ </w:t>
      </w:r>
    </w:p>
    <w:p>
      <w:pPr>
        <w:pStyle w:val="TextBody"/>
        <w:bidi w:val="0"/>
        <w:spacing w:before="0" w:after="0"/>
        <w:jc w:val="left"/>
        <w:rPr>
          <w:rFonts w:ascii="Times New Roman" w:hAnsi="Times New Roman"/>
          <w:sz w:val="20"/>
        </w:rPr>
      </w:pPr>
      <w:r>
        <w:rPr>
          <w:rFonts w:ascii="Times New Roman" w:hAnsi="Times New Roman"/>
          <w:sz w:val="20"/>
        </w:rPr>
        <w:t xml:space="preserve">Authorized Signatory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[FORM OF REVERSE OF NOTE] </w:t>
      </w:r>
    </w:p>
    <w:p>
      <w:pPr>
        <w:pStyle w:val="TextBody"/>
        <w:bidi w:val="0"/>
        <w:spacing w:before="240" w:after="0"/>
        <w:jc w:val="center"/>
        <w:rPr>
          <w:rFonts w:ascii="Times New Roman" w:hAnsi="Times New Roman"/>
          <w:sz w:val="20"/>
        </w:rPr>
      </w:pPr>
      <w:r>
        <w:rPr>
          <w:rFonts w:ascii="Times New Roman" w:hAnsi="Times New Roman"/>
          <w:sz w:val="20"/>
        </w:rPr>
        <w:t xml:space="preserve">AEVA Technologies Inc. </w:t>
      </w:r>
    </w:p>
    <w:p>
      <w:pPr>
        <w:pStyle w:val="TextBody"/>
        <w:bidi w:val="0"/>
        <w:spacing w:before="0" w:after="0"/>
        <w:jc w:val="center"/>
        <w:rPr>
          <w:rFonts w:ascii="Times New Roman" w:hAnsi="Times New Roman"/>
          <w:sz w:val="20"/>
        </w:rPr>
      </w:pPr>
      <w:r>
        <w:rPr>
          <w:rFonts w:ascii="Times New Roman" w:hAnsi="Times New Roman"/>
          <w:sz w:val="20"/>
        </w:rPr>
        <w:t xml:space="preserve">4.375% Convertible Senior Note due 2032 </w:t>
      </w:r>
    </w:p>
    <w:p>
      <w:pPr>
        <w:pStyle w:val="TextBody"/>
        <w:bidi w:val="0"/>
        <w:spacing w:before="240" w:after="0"/>
        <w:jc w:val="left"/>
        <w:rPr>
          <w:rFonts w:ascii="Times New Roman" w:hAnsi="Times New Roman"/>
          <w:sz w:val="20"/>
        </w:rPr>
      </w:pPr>
      <w:r>
        <w:rPr>
          <w:rFonts w:ascii="Times New Roman" w:hAnsi="Times New Roman"/>
          <w:sz w:val="20"/>
        </w:rPr>
        <w:t>This Note is one of a duly authorized issue of Notes of the Company, designated as its 4.375% Convertible Senior Notes due 2032 (the “</w:t>
      </w:r>
      <w:r>
        <w:rPr>
          <w:rFonts w:ascii="Times New Roman" w:hAnsi="Times New Roman"/>
          <w:b/>
          <w:sz w:val="20"/>
        </w:rPr>
        <w:t>Notes</w:t>
      </w:r>
      <w:r>
        <w:rPr>
          <w:rFonts w:ascii="Times New Roman" w:hAnsi="Times New Roman"/>
          <w:sz w:val="20"/>
        </w:rPr>
        <w:t>”), limited to the aggregate principal amount of $100,000,000, all issued or to be issued under and pursuant to an Indenture dated as of November 6, 2025 (the “</w:t>
      </w:r>
      <w:r>
        <w:rPr>
          <w:rFonts w:ascii="Times New Roman" w:hAnsi="Times New Roman"/>
          <w:b/>
          <w:sz w:val="20"/>
        </w:rPr>
        <w:t>Indenture</w:t>
      </w:r>
      <w:r>
        <w:rPr>
          <w:rFonts w:ascii="Times New Roman" w:hAnsi="Times New Roman"/>
          <w:sz w:val="20"/>
        </w:rPr>
        <w:t>”), between the Company and U.S. Bank Trust Company, National Association, as trustee (the “</w:t>
      </w:r>
      <w:r>
        <w:rPr>
          <w:rFonts w:ascii="Times New Roman" w:hAnsi="Times New Roman"/>
          <w:b/>
          <w:sz w:val="20"/>
        </w:rPr>
        <w:t>Trustee</w:t>
      </w:r>
      <w:r>
        <w:rPr>
          <w:rFonts w:ascii="Times New Roman" w:hAnsi="Times New Roman"/>
          <w:sz w:val="20"/>
        </w:rPr>
        <w:t xml:space="preserve">”), to which Indenture and all indentures supplemental thereto reference is hereby made for a description of the rights, limitations of rights, obligations, duties and immunities thereunder of the Trustee, the Company and the Holders. Additional Notes may be issued in an unlimited aggregate principal amount, subject to certain conditions specified in the Indenture. Capitalized terms used in this Note and not defined in this Note shall have the respective meanings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the Indenture, the Company will make all payments and deliveries in respect of the Fundamental Change Repurchase Price on the Fundamental Change Repurchase Date, the Redemption Price on any Redemption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 </w:t>
      </w:r>
    </w:p>
    <w:p>
      <w:pPr>
        <w:pStyle w:val="TextBody"/>
        <w:bidi w:val="0"/>
        <w:spacing w:before="240" w:after="0"/>
        <w:jc w:val="left"/>
        <w:rPr>
          <w:rFonts w:ascii="Times New Roman" w:hAnsi="Times New Roman"/>
          <w:sz w:val="20"/>
        </w:rPr>
      </w:pPr>
      <w:r>
        <w:rPr>
          <w:rFonts w:ascii="Times New Roman" w:hAnsi="Times New Roman"/>
          <w:sz w:val="20"/>
        </w:rPr>
        <w:t xml:space="preserve">Each Holder shall have the right to receive payment or delivery, as the case may be, of (x) the principal (including the Redemption Price and the Fundamental Change Repurchase Price, if applicable) of, (y) accrued and unpaid interest on, and (z) the consideration due upon conversion of, this Note at the place, at the respective times, at the rate and in the lawful money or shares of Common Stock, as the case may be, herein prescribed.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Notes are issuable in registered form without coupons in minimum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issue tax that may be imposed in connection therewith as a result of the name of the Holder of the new Notes issued upon such exchange of Notes being different from the name of the Holder of the old Notes surrendered for such exchange. </w:t>
      </w:r>
    </w:p>
    <w:p>
      <w:pPr>
        <w:pStyle w:val="TextBody"/>
        <w:bidi w:val="0"/>
        <w:spacing w:before="240" w:after="0"/>
        <w:jc w:val="left"/>
        <w:rPr>
          <w:rFonts w:ascii="Times New Roman" w:hAnsi="Times New Roman"/>
          <w:sz w:val="20"/>
        </w:rPr>
      </w:pPr>
      <w:r>
        <w:rPr>
          <w:rFonts w:ascii="Times New Roman" w:hAnsi="Times New Roman"/>
          <w:sz w:val="20"/>
        </w:rPr>
        <w:t xml:space="preserve">Except in the limited circumstances provided for in the Indenture, the Company may not redeem the Notes prior to November 20, 2028. The Notes shall be redeemable at the Company’s option on or after November 20, 2028 in accordance with the terms and subject to the conditions specified in the Indenture. No sinking fund is provided for the Notes.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of a Fundamental Change (other than an Exempted Fundamental Change), the Holder has the right, at such Holder’s option, to require the Company to repurchase for cash all of such Holder’s Notes or any portion thereof (in principal amounts of $1,000 or integral multiples thereof) on the Fundamental Change Repurchase Date at a repurchase price equal to the Fundamental Change Repurchase Price.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 Indenture, the Holder hereof has the right, at its option, during certain periods and upon the occurrence of certain circumstances specified in the Indenture, prior to the close of business on the Scheduled Trading Day immediately preceding the Maturity Date, to convert any Notes or portion thereof that is $1,000 or an integral multiple thereof, into cash, shares of Common Stock or a combination of cash and shares of Common Stock, as applicable, at the Conversion Rate specified in the Indenture, as adjusted from time to time as provided in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ABBREVIATIONS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abbreviations, when used in the inscription of the face of this Note, shall be construed as though they were written out in full according to applicable laws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TEN COM = as tenants in common </w:t>
      </w:r>
    </w:p>
    <w:p>
      <w:pPr>
        <w:pStyle w:val="TextBody"/>
        <w:bidi w:val="0"/>
        <w:spacing w:before="240" w:after="0"/>
        <w:jc w:val="left"/>
        <w:rPr>
          <w:rFonts w:ascii="Times New Roman" w:hAnsi="Times New Roman"/>
          <w:sz w:val="20"/>
        </w:rPr>
      </w:pPr>
      <w:r>
        <w:rPr>
          <w:rFonts w:ascii="Times New Roman" w:hAnsi="Times New Roman"/>
          <w:sz w:val="20"/>
        </w:rPr>
        <w:t xml:space="preserve">UNIF GIFT MIN ACT =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CUST = Custodian </w:t>
      </w:r>
    </w:p>
    <w:p>
      <w:pPr>
        <w:pStyle w:val="TextBody"/>
        <w:bidi w:val="0"/>
        <w:spacing w:before="240" w:after="0"/>
        <w:jc w:val="left"/>
        <w:rPr>
          <w:rFonts w:ascii="Times New Roman" w:hAnsi="Times New Roman"/>
          <w:sz w:val="20"/>
        </w:rPr>
      </w:pPr>
      <w:r>
        <w:rPr>
          <w:rFonts w:ascii="Times New Roman" w:hAnsi="Times New Roman"/>
          <w:sz w:val="20"/>
        </w:rPr>
        <w:t xml:space="preserve">TEN ENT = as tenants by the entireties </w:t>
      </w:r>
    </w:p>
    <w:p>
      <w:pPr>
        <w:pStyle w:val="TextBody"/>
        <w:bidi w:val="0"/>
        <w:spacing w:before="240" w:after="0"/>
        <w:jc w:val="left"/>
        <w:rPr>
          <w:rFonts w:ascii="Times New Roman" w:hAnsi="Times New Roman"/>
          <w:sz w:val="20"/>
        </w:rPr>
      </w:pPr>
      <w:r>
        <w:rPr>
          <w:rFonts w:ascii="Times New Roman" w:hAnsi="Times New Roman"/>
          <w:sz w:val="20"/>
        </w:rPr>
        <w:t xml:space="preserve">JT TEN = joint tenants with right of survivorship and not as tenants in common </w:t>
      </w:r>
    </w:p>
    <w:p>
      <w:pPr>
        <w:pStyle w:val="TextBody"/>
        <w:bidi w:val="0"/>
        <w:spacing w:before="240" w:after="0"/>
        <w:jc w:val="left"/>
        <w:rPr>
          <w:rFonts w:ascii="Times New Roman" w:hAnsi="Times New Roman"/>
          <w:sz w:val="20"/>
        </w:rPr>
      </w:pPr>
      <w:r>
        <w:rPr>
          <w:rFonts w:ascii="Times New Roman" w:hAnsi="Times New Roman"/>
          <w:sz w:val="20"/>
        </w:rPr>
        <w:t xml:space="preserve">Additional abbreviations may also be used though not in the above list.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A7 </w:t>
      </w:r>
    </w:p>
    <w:p>
      <w:pPr>
        <w:pStyle w:val="TextBody"/>
        <w:bidi w:val="0"/>
        <w:spacing w:before="240" w:after="0"/>
        <w:jc w:val="center"/>
        <w:rPr>
          <w:rFonts w:ascii="Times New Roman" w:hAnsi="Times New Roman"/>
          <w:sz w:val="20"/>
        </w:rPr>
      </w:pPr>
      <w:r>
        <w:rPr>
          <w:rFonts w:ascii="Times New Roman" w:hAnsi="Times New Roman"/>
          <w:sz w:val="20"/>
        </w:rPr>
        <w:t xml:space="preserve">SCHEDULE OF EXCHANGES OF NOTES </w:t>
      </w:r>
    </w:p>
    <w:p>
      <w:pPr>
        <w:pStyle w:val="TextBody"/>
        <w:bidi w:val="0"/>
        <w:spacing w:before="240" w:after="0"/>
        <w:jc w:val="center"/>
        <w:rPr>
          <w:rFonts w:ascii="Times New Roman" w:hAnsi="Times New Roman"/>
          <w:sz w:val="20"/>
        </w:rPr>
      </w:pPr>
      <w:r>
        <w:rPr>
          <w:rFonts w:ascii="Times New Roman" w:hAnsi="Times New Roman"/>
          <w:sz w:val="20"/>
        </w:rPr>
        <w:t xml:space="preserve">AEVA Technologies, Inc. </w:t>
      </w:r>
    </w:p>
    <w:p>
      <w:pPr>
        <w:pStyle w:val="TextBody"/>
        <w:bidi w:val="0"/>
        <w:spacing w:before="0" w:after="0"/>
        <w:jc w:val="center"/>
        <w:rPr>
          <w:rFonts w:ascii="Times New Roman" w:hAnsi="Times New Roman"/>
          <w:sz w:val="20"/>
        </w:rPr>
      </w:pPr>
      <w:r>
        <w:rPr>
          <w:rFonts w:ascii="Times New Roman" w:hAnsi="Times New Roman"/>
          <w:sz w:val="20"/>
        </w:rPr>
        <w:t xml:space="preserve">4.375% Convertible Senior Notes due 2032 </w:t>
      </w:r>
    </w:p>
    <w:p>
      <w:pPr>
        <w:pStyle w:val="TextBody"/>
        <w:bidi w:val="0"/>
        <w:spacing w:before="240" w:after="0"/>
        <w:jc w:val="left"/>
        <w:rPr>
          <w:rFonts w:ascii="Times New Roman" w:hAnsi="Times New Roman"/>
          <w:sz w:val="20"/>
        </w:rPr>
      </w:pPr>
      <w:r>
        <w:rPr>
          <w:rFonts w:ascii="Times New Roman" w:hAnsi="Times New Roman"/>
          <w:sz w:val="20"/>
        </w:rPr>
        <w:t xml:space="preserve">The initial principal amount of this Global Note is ONE HUNDRED MILLION DOLLARS ($100,000,000). The following increases or decreases in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43"/>
        <w:gridCol w:w="120"/>
        <w:gridCol w:w="1926"/>
        <w:gridCol w:w="120"/>
        <w:gridCol w:w="1926"/>
        <w:gridCol w:w="294"/>
        <w:gridCol w:w="1430"/>
        <w:gridCol w:w="120"/>
        <w:gridCol w:w="1826"/>
      </w:tblGrid>
      <w:tr>
        <w:trPr/>
        <w:tc>
          <w:tcPr>
            <w:tcW w:w="244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r>
      <w:tr>
        <w:trPr/>
        <w:tc>
          <w:tcPr>
            <w:tcW w:w="244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of exchange</w:t>
            </w:r>
          </w:p>
        </w:tc>
        <w:tc>
          <w:tcPr>
            <w:tcW w:w="120" w:type="dxa"/>
            <w:tcBorders/>
            <w:vAlign w:val="bottom"/>
          </w:tcPr>
          <w:p>
            <w:pPr>
              <w:pStyle w:val="TableContents"/>
              <w:bidi w:val="0"/>
              <w:spacing w:before="0" w:after="283"/>
              <w:jc w:val="left"/>
              <w:rPr/>
            </w:pPr>
            <w:r>
              <w:rPr/>
              <w:t>  </w:t>
            </w:r>
          </w:p>
        </w:tc>
        <w:tc>
          <w:tcPr>
            <w:tcW w:w="192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w:t>
            </w:r>
          </w:p>
          <w:p>
            <w:pPr>
              <w:pStyle w:val="TableContents"/>
              <w:bidi w:val="0"/>
              <w:spacing w:before="0" w:after="0"/>
              <w:jc w:val="center"/>
              <w:rPr>
                <w:rFonts w:ascii="Times New Roman" w:hAnsi="Times New Roman"/>
                <w:b/>
                <w:sz w:val="16"/>
              </w:rPr>
            </w:pPr>
            <w:r>
              <w:rPr>
                <w:rFonts w:ascii="Times New Roman" w:hAnsi="Times New Roman"/>
                <w:b/>
                <w:sz w:val="16"/>
              </w:rPr>
              <w:t>decrease in</w:t>
            </w:r>
          </w:p>
          <w:p>
            <w:pPr>
              <w:pStyle w:val="TableContents"/>
              <w:bidi w:val="0"/>
              <w:spacing w:before="0" w:after="0"/>
              <w:jc w:val="center"/>
              <w:rPr>
                <w:rFonts w:ascii="Times New Roman" w:hAnsi="Times New Roman"/>
                <w:b/>
                <w:sz w:val="16"/>
              </w:rPr>
            </w:pPr>
            <w:r>
              <w:rPr>
                <w:rFonts w:ascii="Times New Roman" w:hAnsi="Times New Roman"/>
                <w:b/>
                <w:sz w:val="16"/>
              </w:rPr>
              <w:t>principal amount</w:t>
            </w:r>
          </w:p>
          <w:p>
            <w:pPr>
              <w:pStyle w:val="TableContents"/>
              <w:bidi w:val="0"/>
              <w:spacing w:before="0" w:after="20"/>
              <w:jc w:val="center"/>
              <w:rPr>
                <w:rFonts w:ascii="Times New Roman" w:hAnsi="Times New Roman"/>
                <w:b/>
                <w:sz w:val="16"/>
              </w:rPr>
            </w:pPr>
            <w:r>
              <w:rPr>
                <w:rFonts w:ascii="Times New Roman" w:hAnsi="Times New Roman"/>
                <w:b/>
                <w:sz w:val="16"/>
              </w:rPr>
              <w:t>of this Global Note</w:t>
            </w:r>
          </w:p>
        </w:tc>
        <w:tc>
          <w:tcPr>
            <w:tcW w:w="120" w:type="dxa"/>
            <w:tcBorders/>
            <w:vAlign w:val="bottom"/>
          </w:tcPr>
          <w:p>
            <w:pPr>
              <w:pStyle w:val="TableContents"/>
              <w:bidi w:val="0"/>
              <w:spacing w:before="0" w:after="283"/>
              <w:jc w:val="left"/>
              <w:rPr/>
            </w:pPr>
            <w:r>
              <w:rPr/>
              <w:t>  </w:t>
            </w:r>
          </w:p>
        </w:tc>
        <w:tc>
          <w:tcPr>
            <w:tcW w:w="192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w:t>
            </w:r>
          </w:p>
          <w:p>
            <w:pPr>
              <w:pStyle w:val="TableContents"/>
              <w:bidi w:val="0"/>
              <w:spacing w:before="0" w:after="0"/>
              <w:jc w:val="center"/>
              <w:rPr>
                <w:rFonts w:ascii="Times New Roman" w:hAnsi="Times New Roman"/>
                <w:b/>
                <w:sz w:val="16"/>
              </w:rPr>
            </w:pPr>
            <w:r>
              <w:rPr>
                <w:rFonts w:ascii="Times New Roman" w:hAnsi="Times New Roman"/>
                <w:b/>
                <w:sz w:val="16"/>
              </w:rPr>
              <w:t>increase in</w:t>
            </w:r>
          </w:p>
          <w:p>
            <w:pPr>
              <w:pStyle w:val="TableContents"/>
              <w:bidi w:val="0"/>
              <w:spacing w:before="0" w:after="0"/>
              <w:jc w:val="center"/>
              <w:rPr>
                <w:rFonts w:ascii="Times New Roman" w:hAnsi="Times New Roman"/>
                <w:b/>
                <w:sz w:val="16"/>
              </w:rPr>
            </w:pPr>
            <w:r>
              <w:rPr>
                <w:rFonts w:ascii="Times New Roman" w:hAnsi="Times New Roman"/>
                <w:b/>
                <w:sz w:val="16"/>
              </w:rPr>
              <w:t>principal amount</w:t>
            </w:r>
          </w:p>
          <w:p>
            <w:pPr>
              <w:pStyle w:val="TableContents"/>
              <w:bidi w:val="0"/>
              <w:spacing w:before="0" w:after="20"/>
              <w:jc w:val="center"/>
              <w:rPr>
                <w:rFonts w:ascii="Times New Roman" w:hAnsi="Times New Roman"/>
                <w:b/>
                <w:sz w:val="16"/>
              </w:rPr>
            </w:pPr>
            <w:r>
              <w:rPr>
                <w:rFonts w:ascii="Times New Roman" w:hAnsi="Times New Roman"/>
                <w:b/>
                <w:sz w:val="16"/>
              </w:rPr>
              <w:t>of this Global Note</w:t>
            </w:r>
          </w:p>
        </w:tc>
        <w:tc>
          <w:tcPr>
            <w:tcW w:w="294" w:type="dxa"/>
            <w:tcBorders/>
            <w:vAlign w:val="bottom"/>
          </w:tcPr>
          <w:p>
            <w:pPr>
              <w:pStyle w:val="TableContents"/>
              <w:bidi w:val="0"/>
              <w:spacing w:before="0" w:after="283"/>
              <w:jc w:val="left"/>
              <w:rPr/>
            </w:pPr>
            <w:r>
              <w:rPr/>
              <w:t>  </w:t>
            </w:r>
          </w:p>
        </w:tc>
        <w:tc>
          <w:tcPr>
            <w:tcW w:w="14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of this Global Note</w:t>
              <w:br/>
              <w:t>following such</w:t>
              <w:br/>
              <w:t>decrease or</w:t>
              <w:br/>
              <w:t>increase</w:t>
            </w:r>
          </w:p>
        </w:tc>
        <w:tc>
          <w:tcPr>
            <w:tcW w:w="120" w:type="dxa"/>
            <w:tcBorders/>
            <w:vAlign w:val="bottom"/>
          </w:tcPr>
          <w:p>
            <w:pPr>
              <w:pStyle w:val="TableContents"/>
              <w:bidi w:val="0"/>
              <w:spacing w:before="0" w:after="283"/>
              <w:jc w:val="left"/>
              <w:rPr/>
            </w:pPr>
            <w:r>
              <w:rPr/>
              <w:t>  </w:t>
            </w:r>
          </w:p>
        </w:tc>
        <w:tc>
          <w:tcPr>
            <w:tcW w:w="182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Signature of</w:t>
            </w:r>
          </w:p>
          <w:p>
            <w:pPr>
              <w:pStyle w:val="TableContents"/>
              <w:bidi w:val="0"/>
              <w:spacing w:before="0" w:after="0"/>
              <w:jc w:val="center"/>
              <w:rPr>
                <w:rFonts w:ascii="Times New Roman" w:hAnsi="Times New Roman"/>
                <w:b/>
                <w:sz w:val="16"/>
              </w:rPr>
            </w:pPr>
            <w:r>
              <w:rPr>
                <w:rFonts w:ascii="Times New Roman" w:hAnsi="Times New Roman"/>
                <w:b/>
                <w:sz w:val="16"/>
              </w:rPr>
              <w:t>authorized</w:t>
            </w:r>
          </w:p>
          <w:p>
            <w:pPr>
              <w:pStyle w:val="TableContents"/>
              <w:bidi w:val="0"/>
              <w:spacing w:before="0" w:after="0"/>
              <w:jc w:val="center"/>
              <w:rPr>
                <w:rFonts w:ascii="Times New Roman" w:hAnsi="Times New Roman"/>
                <w:b/>
                <w:sz w:val="16"/>
              </w:rPr>
            </w:pPr>
            <w:r>
              <w:rPr>
                <w:rFonts w:ascii="Times New Roman" w:hAnsi="Times New Roman"/>
                <w:b/>
                <w:sz w:val="16"/>
              </w:rPr>
              <w:t>signatory of</w:t>
            </w:r>
          </w:p>
          <w:p>
            <w:pPr>
              <w:pStyle w:val="TableContents"/>
              <w:bidi w:val="0"/>
              <w:spacing w:before="0" w:after="0"/>
              <w:jc w:val="center"/>
              <w:rPr>
                <w:rFonts w:ascii="Times New Roman" w:hAnsi="Times New Roman"/>
                <w:b/>
                <w:sz w:val="16"/>
              </w:rPr>
            </w:pPr>
            <w:r>
              <w:rPr>
                <w:rFonts w:ascii="Times New Roman" w:hAnsi="Times New Roman"/>
                <w:b/>
                <w:sz w:val="16"/>
              </w:rPr>
              <w:t>Trustee or</w:t>
            </w:r>
          </w:p>
          <w:p>
            <w:pPr>
              <w:pStyle w:val="TableContents"/>
              <w:bidi w:val="0"/>
              <w:spacing w:before="0" w:after="20"/>
              <w:jc w:val="center"/>
              <w:rPr>
                <w:rFonts w:ascii="Times New Roman" w:hAnsi="Times New Roman"/>
                <w:b/>
                <w:sz w:val="16"/>
              </w:rPr>
            </w:pPr>
            <w:r>
              <w:rPr>
                <w:rFonts w:ascii="Times New Roman" w:hAnsi="Times New Roman"/>
                <w:b/>
                <w:sz w:val="16"/>
              </w:rPr>
              <w:t>Custodian</w:t>
            </w:r>
          </w:p>
        </w:tc>
      </w:tr>
      <w:tr>
        <w:trPr/>
        <w:tc>
          <w:tcPr>
            <w:tcW w:w="24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sz w:val="4"/>
                <w:szCs w:val="4"/>
              </w:rPr>
            </w:pPr>
            <w:r>
              <w:rPr>
                <w:sz w:val="4"/>
                <w:szCs w:val="4"/>
              </w:rPr>
            </w:r>
          </w:p>
        </w:tc>
      </w:tr>
      <w:tr>
        <w:trPr/>
        <w:tc>
          <w:tcPr>
            <w:tcW w:w="2443"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r>
      <w:tr>
        <w:trPr/>
        <w:tc>
          <w:tcPr>
            <w:tcW w:w="24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sz w:val="4"/>
                <w:szCs w:val="4"/>
              </w:rPr>
            </w:pPr>
            <w:r>
              <w:rPr>
                <w:sz w:val="4"/>
                <w:szCs w:val="4"/>
              </w:rPr>
            </w:r>
          </w:p>
        </w:tc>
      </w:tr>
      <w:tr>
        <w:trPr/>
        <w:tc>
          <w:tcPr>
            <w:tcW w:w="2443"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r>
      <w:tr>
        <w:trPr/>
        <w:tc>
          <w:tcPr>
            <w:tcW w:w="24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sz w:val="4"/>
                <w:szCs w:val="4"/>
              </w:rPr>
            </w:pPr>
            <w:r>
              <w:rPr>
                <w:sz w:val="4"/>
                <w:szCs w:val="4"/>
              </w:rPr>
            </w:r>
          </w:p>
        </w:tc>
      </w:tr>
      <w:tr>
        <w:trPr/>
        <w:tc>
          <w:tcPr>
            <w:tcW w:w="2443"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r>
      <w:tr>
        <w:trPr/>
        <w:tc>
          <w:tcPr>
            <w:tcW w:w="24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sz w:val="4"/>
                <w:szCs w:val="4"/>
              </w:rPr>
            </w:pPr>
            <w:r>
              <w:rPr>
                <w:sz w:val="4"/>
                <w:szCs w:val="4"/>
              </w:rPr>
            </w:r>
          </w:p>
        </w:tc>
      </w:tr>
      <w:tr>
        <w:trPr/>
        <w:tc>
          <w:tcPr>
            <w:tcW w:w="2443"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r>
      <w:tr>
        <w:trPr/>
        <w:tc>
          <w:tcPr>
            <w:tcW w:w="24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sz w:val="4"/>
                <w:szCs w:val="4"/>
              </w:rPr>
            </w:pPr>
            <w:r>
              <w:rPr>
                <w:sz w:val="4"/>
                <w:szCs w:val="4"/>
              </w:rPr>
            </w:r>
          </w:p>
        </w:tc>
      </w:tr>
      <w:tr>
        <w:trPr/>
        <w:tc>
          <w:tcPr>
            <w:tcW w:w="2443"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r>
      <w:tr>
        <w:trPr/>
        <w:tc>
          <w:tcPr>
            <w:tcW w:w="24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sz w:val="4"/>
                <w:szCs w:val="4"/>
              </w:rPr>
            </w:pPr>
            <w:r>
              <w:rPr>
                <w:sz w:val="4"/>
                <w:szCs w:val="4"/>
              </w:rPr>
            </w:r>
          </w:p>
        </w:tc>
      </w:tr>
      <w:tr>
        <w:trPr/>
        <w:tc>
          <w:tcPr>
            <w:tcW w:w="2443"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r>
      <w:tr>
        <w:trPr/>
        <w:tc>
          <w:tcPr>
            <w:tcW w:w="24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sz w:val="4"/>
                <w:szCs w:val="4"/>
              </w:rPr>
            </w:pPr>
            <w:r>
              <w:rPr>
                <w:sz w:val="4"/>
                <w:szCs w:val="4"/>
              </w:rPr>
            </w:r>
          </w:p>
        </w:tc>
      </w:tr>
      <w:tr>
        <w:trPr/>
        <w:tc>
          <w:tcPr>
            <w:tcW w:w="2443"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r>
      <w:tr>
        <w:trPr/>
        <w:tc>
          <w:tcPr>
            <w:tcW w:w="24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sz w:val="4"/>
                <w:szCs w:val="4"/>
              </w:rPr>
            </w:pPr>
            <w:r>
              <w:rPr>
                <w:sz w:val="4"/>
                <w:szCs w:val="4"/>
              </w:rPr>
            </w:r>
          </w:p>
        </w:tc>
      </w:tr>
      <w:tr>
        <w:trPr/>
        <w:tc>
          <w:tcPr>
            <w:tcW w:w="2443"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r>
      <w:tr>
        <w:trPr/>
        <w:tc>
          <w:tcPr>
            <w:tcW w:w="24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sz w:val="4"/>
                <w:szCs w:val="4"/>
              </w:rPr>
            </w:pPr>
            <w:r>
              <w:rPr>
                <w:sz w:val="4"/>
                <w:szCs w:val="4"/>
              </w:rPr>
            </w:r>
          </w:p>
        </w:tc>
      </w:tr>
      <w:tr>
        <w:trPr/>
        <w:tc>
          <w:tcPr>
            <w:tcW w:w="2443"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r>
      <w:tr>
        <w:trPr/>
        <w:tc>
          <w:tcPr>
            <w:tcW w:w="24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sz w:val="4"/>
                <w:szCs w:val="4"/>
              </w:rPr>
            </w:pPr>
            <w:r>
              <w:rPr>
                <w:sz w:val="4"/>
                <w:szCs w:val="4"/>
              </w:rPr>
            </w:r>
          </w:p>
        </w:tc>
      </w:tr>
      <w:tr>
        <w:trPr/>
        <w:tc>
          <w:tcPr>
            <w:tcW w:w="2443"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r>
      <w:tr>
        <w:trPr/>
        <w:tc>
          <w:tcPr>
            <w:tcW w:w="24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sz w:val="4"/>
                <w:szCs w:val="4"/>
              </w:rPr>
            </w:pPr>
            <w:r>
              <w:rPr>
                <w:sz w:val="4"/>
                <w:szCs w:val="4"/>
              </w:rPr>
            </w:r>
          </w:p>
        </w:tc>
      </w:tr>
      <w:tr>
        <w:trPr/>
        <w:tc>
          <w:tcPr>
            <w:tcW w:w="2443"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r>
      <w:tr>
        <w:trPr/>
        <w:tc>
          <w:tcPr>
            <w:tcW w:w="24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sz w:val="4"/>
                <w:szCs w:val="4"/>
              </w:rPr>
            </w:pPr>
            <w:r>
              <w:rPr>
                <w:sz w:val="4"/>
                <w:szCs w:val="4"/>
              </w:rPr>
            </w:r>
          </w:p>
        </w:tc>
      </w:tr>
      <w:tr>
        <w:trPr/>
        <w:tc>
          <w:tcPr>
            <w:tcW w:w="2443"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r>
      <w:tr>
        <w:trPr/>
        <w:tc>
          <w:tcPr>
            <w:tcW w:w="24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sz w:val="4"/>
                <w:szCs w:val="4"/>
              </w:rPr>
            </w:pPr>
            <w:r>
              <w:rPr>
                <w:sz w:val="4"/>
                <w:szCs w:val="4"/>
              </w:rPr>
            </w:r>
          </w:p>
        </w:tc>
      </w:tr>
      <w:tr>
        <w:trPr/>
        <w:tc>
          <w:tcPr>
            <w:tcW w:w="2443"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r>
      <w:tr>
        <w:trPr/>
        <w:tc>
          <w:tcPr>
            <w:tcW w:w="24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sz w:val="4"/>
                <w:szCs w:val="4"/>
              </w:rPr>
            </w:pPr>
            <w:r>
              <w:rPr>
                <w:sz w:val="4"/>
                <w:szCs w:val="4"/>
              </w:rPr>
            </w:r>
          </w:p>
        </w:tc>
      </w:tr>
      <w:tr>
        <w:trPr/>
        <w:tc>
          <w:tcPr>
            <w:tcW w:w="2443"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r>
      <w:tr>
        <w:trPr/>
        <w:tc>
          <w:tcPr>
            <w:tcW w:w="24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sz w:val="4"/>
                <w:szCs w:val="4"/>
              </w:rPr>
            </w:pPr>
            <w:r>
              <w:rPr>
                <w:sz w:val="4"/>
                <w:szCs w:val="4"/>
              </w:rPr>
            </w:r>
          </w:p>
        </w:tc>
      </w:tr>
      <w:tr>
        <w:trPr/>
        <w:tc>
          <w:tcPr>
            <w:tcW w:w="2443"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r>
      <w:tr>
        <w:trPr/>
        <w:tc>
          <w:tcPr>
            <w:tcW w:w="24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sz w:val="4"/>
                <w:szCs w:val="4"/>
              </w:rPr>
            </w:pPr>
            <w:r>
              <w:rPr>
                <w:sz w:val="4"/>
                <w:szCs w:val="4"/>
              </w:rPr>
            </w:r>
          </w:p>
        </w:tc>
      </w:tr>
      <w:tr>
        <w:trPr/>
        <w:tc>
          <w:tcPr>
            <w:tcW w:w="2443"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r>
      <w:tr>
        <w:trPr/>
        <w:tc>
          <w:tcPr>
            <w:tcW w:w="24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sz w:val="4"/>
                <w:szCs w:val="4"/>
              </w:rPr>
            </w:pPr>
            <w:r>
              <w:rPr>
                <w:sz w:val="4"/>
                <w:szCs w:val="4"/>
              </w:rPr>
            </w:r>
          </w:p>
        </w:tc>
      </w:tr>
      <w:tr>
        <w:trPr/>
        <w:tc>
          <w:tcPr>
            <w:tcW w:w="2443"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r>
      <w:tr>
        <w:trPr/>
        <w:tc>
          <w:tcPr>
            <w:tcW w:w="24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sz w:val="4"/>
                <w:szCs w:val="4"/>
              </w:rPr>
            </w:pPr>
            <w:r>
              <w:rPr>
                <w:sz w:val="4"/>
                <w:szCs w:val="4"/>
              </w:rPr>
            </w:r>
          </w:p>
        </w:tc>
      </w:tr>
      <w:tr>
        <w:trPr/>
        <w:tc>
          <w:tcPr>
            <w:tcW w:w="2443"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r>
      <w:tr>
        <w:trPr/>
        <w:tc>
          <w:tcPr>
            <w:tcW w:w="24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sz w:val="4"/>
                <w:szCs w:val="4"/>
              </w:rPr>
            </w:pPr>
            <w:r>
              <w:rPr>
                <w:sz w:val="4"/>
                <w:szCs w:val="4"/>
              </w:rPr>
            </w:r>
          </w:p>
        </w:tc>
      </w:tr>
      <w:tr>
        <w:trPr/>
        <w:tc>
          <w:tcPr>
            <w:tcW w:w="2443"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r>
      <w:tr>
        <w:trPr/>
        <w:tc>
          <w:tcPr>
            <w:tcW w:w="24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sz w:val="4"/>
                <w:szCs w:val="4"/>
              </w:rPr>
            </w:pPr>
            <w:r>
              <w:rPr>
                <w:sz w:val="4"/>
                <w:szCs w:val="4"/>
              </w:rPr>
            </w:r>
          </w:p>
        </w:tc>
      </w:tr>
      <w:tr>
        <w:trPr/>
        <w:tc>
          <w:tcPr>
            <w:tcW w:w="2443"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r>
      <w:tr>
        <w:trPr/>
        <w:tc>
          <w:tcPr>
            <w:tcW w:w="24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sz w:val="4"/>
                <w:szCs w:val="4"/>
              </w:rPr>
            </w:pPr>
            <w:r>
              <w:rPr>
                <w:sz w:val="4"/>
                <w:szCs w:val="4"/>
              </w:rPr>
            </w:r>
          </w:p>
        </w:tc>
      </w:tr>
      <w:tr>
        <w:trPr/>
        <w:tc>
          <w:tcPr>
            <w:tcW w:w="2443"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r>
      <w:tr>
        <w:trPr/>
        <w:tc>
          <w:tcPr>
            <w:tcW w:w="244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bidi w:val="0"/>
              <w:spacing w:before="0" w:after="283"/>
              <w:jc w:val="left"/>
              <w:rPr>
                <w:sz w:val="4"/>
                <w:szCs w:val="4"/>
              </w:rPr>
            </w:pPr>
            <w:r>
              <w:rPr>
                <w:sz w:val="4"/>
                <w:szCs w:val="4"/>
              </w:rPr>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bidi w:val="0"/>
              <w:spacing w:before="0" w:after="283"/>
              <w:jc w:val="left"/>
              <w:rPr>
                <w:sz w:val="4"/>
                <w:szCs w:val="4"/>
              </w:rPr>
            </w:pPr>
            <w:r>
              <w:rPr>
                <w:sz w:val="4"/>
                <w:szCs w:val="4"/>
              </w:rPr>
            </w:r>
          </w:p>
        </w:tc>
      </w:tr>
      <w:tr>
        <w:trPr/>
        <w:tc>
          <w:tcPr>
            <w:tcW w:w="2443"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26" w:type="dxa"/>
            <w:tcBorders/>
            <w:vAlign w:val="bottom"/>
          </w:tcPr>
          <w:p>
            <w:pPr>
              <w:pStyle w:val="TableContents"/>
              <w:pBdr>
                <w:top w:val="single" w:sz="2" w:space="1" w:color="000000"/>
              </w:pBdr>
              <w:bidi w:val="0"/>
              <w:spacing w:before="0" w:after="0"/>
              <w:jc w:val="left"/>
              <w:rPr/>
            </w:pPr>
            <w:r>
              <w:rPr/>
              <w:t> </w:t>
            </w:r>
          </w:p>
        </w:tc>
        <w:tc>
          <w:tcPr>
            <w:tcW w:w="294" w:type="dxa"/>
            <w:tcBorders/>
            <w:vAlign w:val="bottom"/>
          </w:tcPr>
          <w:p>
            <w:pPr>
              <w:pStyle w:val="TableContents"/>
              <w:bidi w:val="0"/>
              <w:spacing w:before="0" w:after="283"/>
              <w:jc w:val="left"/>
              <w:rPr/>
            </w:pPr>
            <w:r>
              <w:rPr/>
              <w:t>  </w:t>
            </w:r>
          </w:p>
        </w:tc>
        <w:tc>
          <w:tcPr>
            <w:tcW w:w="1430"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826" w:type="dxa"/>
            <w:tcBorders/>
            <w:vAlign w:val="bottom"/>
          </w:tcPr>
          <w:p>
            <w:pPr>
              <w:pStyle w:val="TableContents"/>
              <w:pBdr>
                <w:top w:val="single" w:sz="2" w:space="1" w:color="000000"/>
              </w:pBdr>
              <w:bidi w:val="0"/>
              <w:spacing w:before="0" w:after="0"/>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if a global note.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ATTACHMENT 1 </w:t>
      </w:r>
    </w:p>
    <w:p>
      <w:pPr>
        <w:pStyle w:val="TextBody"/>
        <w:bidi w:val="0"/>
        <w:spacing w:before="240" w:after="0"/>
        <w:jc w:val="center"/>
        <w:rPr>
          <w:rFonts w:ascii="Times New Roman" w:hAnsi="Times New Roman"/>
          <w:sz w:val="20"/>
        </w:rPr>
      </w:pPr>
      <w:r>
        <w:rPr>
          <w:rFonts w:ascii="Times New Roman" w:hAnsi="Times New Roman"/>
          <w:sz w:val="20"/>
        </w:rPr>
        <w:t xml:space="preserve">[FORM OF NOTICE OF CONVERSION]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Bank Trust Company, National Association </w:t>
            </w:r>
          </w:p>
        </w:tc>
      </w:tr>
    </w:tbl>
    <w:p>
      <w:pPr>
        <w:pStyle w:val="TextBody"/>
        <w:bidi w:val="0"/>
        <w:spacing w:before="0" w:after="0"/>
        <w:jc w:val="left"/>
        <w:rPr>
          <w:rFonts w:ascii="Times New Roman" w:hAnsi="Times New Roman"/>
          <w:sz w:val="20"/>
        </w:rPr>
      </w:pPr>
      <w:r>
        <w:rPr>
          <w:rFonts w:ascii="Times New Roman" w:hAnsi="Times New Roman"/>
          <w:sz w:val="20"/>
        </w:rPr>
        <w:t xml:space="preserve">60 Livingston Ave, </w:t>
      </w:r>
    </w:p>
    <w:p>
      <w:pPr>
        <w:pStyle w:val="TextBody"/>
        <w:bidi w:val="0"/>
        <w:spacing w:before="0" w:after="0"/>
        <w:jc w:val="left"/>
        <w:rPr>
          <w:rFonts w:ascii="Times New Roman" w:hAnsi="Times New Roman"/>
          <w:sz w:val="20"/>
        </w:rPr>
      </w:pPr>
      <w:r>
        <w:rPr>
          <w:rFonts w:ascii="Times New Roman" w:hAnsi="Times New Roman"/>
          <w:sz w:val="20"/>
        </w:rPr>
        <w:t xml:space="preserve">Saint Paul, MN 55107 </w:t>
      </w:r>
    </w:p>
    <w:p>
      <w:pPr>
        <w:pStyle w:val="TextBody"/>
        <w:bidi w:val="0"/>
        <w:spacing w:before="0" w:after="0"/>
        <w:jc w:val="left"/>
        <w:rPr>
          <w:rFonts w:ascii="Times New Roman" w:hAnsi="Times New Roman"/>
          <w:sz w:val="20"/>
        </w:rPr>
      </w:pPr>
      <w:r>
        <w:rPr>
          <w:rFonts w:ascii="Times New Roman" w:hAnsi="Times New Roman"/>
          <w:sz w:val="20"/>
        </w:rPr>
        <w:t xml:space="preserve">Attention: AEVA Technologies, Inc.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registered owner of this Note hereby exercises the option to convert this Note, or the portion hereof (that is $1,000 principal amount or an integral multiple thereof) below designated, into cash, shares of Common Stock or a combination of cash and shares of Common Stock, as applicable,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any interest accompanies this Note. Capitalized terms used herein but not defined shall have the meanings ascribed to such terms in the Indenture.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8"/>
        <w:gridCol w:w="110"/>
        <w:gridCol w:w="2855"/>
        <w:gridCol w:w="318"/>
        <w:gridCol w:w="3241"/>
        <w:gridCol w:w="122"/>
        <w:gridCol w:w="2951"/>
      </w:tblGrid>
      <w:tr>
        <w:trPr/>
        <w:tc>
          <w:tcPr>
            <w:tcW w:w="608"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r>
      <w:tr>
        <w:trPr/>
        <w:tc>
          <w:tcPr>
            <w:tcW w:w="608" w:type="dxa"/>
            <w:tcBorders/>
          </w:tcPr>
          <w:p>
            <w:pPr>
              <w:pStyle w:val="TableContents"/>
              <w:bidi w:val="0"/>
              <w:spacing w:before="0" w:after="283"/>
              <w:jc w:val="left"/>
              <w:rPr/>
            </w:pPr>
            <w:r>
              <w:rPr/>
              <w:t>Dated:</w:t>
            </w:r>
          </w:p>
        </w:tc>
        <w:tc>
          <w:tcPr>
            <w:tcW w:w="110" w:type="dxa"/>
            <w:tcBorders/>
            <w:vAlign w:val="bottom"/>
          </w:tcPr>
          <w:p>
            <w:pPr>
              <w:pStyle w:val="TableContents"/>
              <w:bidi w:val="0"/>
              <w:spacing w:before="0" w:after="283"/>
              <w:jc w:val="left"/>
              <w:rPr/>
            </w:pPr>
            <w:r>
              <w:rPr/>
              <w:t> </w:t>
            </w:r>
          </w:p>
        </w:tc>
        <w:tc>
          <w:tcPr>
            <w:tcW w:w="2855" w:type="dxa"/>
            <w:tcBorders/>
          </w:tcPr>
          <w:p>
            <w:pPr>
              <w:pStyle w:val="TableContents"/>
              <w:pBdr>
                <w:bottom w:val="single" w:sz="2" w:space="1" w:color="000000"/>
              </w:pBdr>
              <w:bidi w:val="0"/>
              <w:spacing w:before="0" w:after="20"/>
              <w:jc w:val="left"/>
              <w:rPr/>
            </w:pPr>
            <w:r>
              <w:rPr/>
              <w:t> </w:t>
            </w:r>
          </w:p>
        </w:tc>
        <w:tc>
          <w:tcPr>
            <w:tcW w:w="318" w:type="dxa"/>
            <w:tcBorders/>
            <w:vAlign w:val="bottom"/>
          </w:tcPr>
          <w:p>
            <w:pPr>
              <w:pStyle w:val="TableContents"/>
              <w:bidi w:val="0"/>
              <w:spacing w:before="0" w:after="283"/>
              <w:jc w:val="left"/>
              <w:rPr/>
            </w:pPr>
            <w:r>
              <w:rPr/>
              <w:t>  </w:t>
            </w:r>
          </w:p>
        </w:tc>
        <w:tc>
          <w:tcPr>
            <w:tcW w:w="3241" w:type="dxa"/>
            <w:tcBorders/>
          </w:tcPr>
          <w:p>
            <w:pPr>
              <w:pStyle w:val="TableContents"/>
              <w:pBdr>
                <w:bottom w:val="single" w:sz="2" w:space="1" w:color="000000"/>
              </w:pBdr>
              <w:bidi w:val="0"/>
              <w:spacing w:before="0" w:after="20"/>
              <w:jc w:val="left"/>
              <w:rPr/>
            </w:pPr>
            <w:r>
              <w:rPr/>
              <w:t> </w:t>
            </w:r>
          </w:p>
        </w:tc>
        <w:tc>
          <w:tcPr>
            <w:tcW w:w="122" w:type="dxa"/>
            <w:tcBorders/>
            <w:vAlign w:val="bottom"/>
          </w:tcPr>
          <w:p>
            <w:pPr>
              <w:pStyle w:val="TableContents"/>
              <w:bidi w:val="0"/>
              <w:spacing w:before="0" w:after="283"/>
              <w:jc w:val="left"/>
              <w:rPr/>
            </w:pPr>
            <w:r>
              <w:rPr/>
              <w:t>  </w:t>
            </w:r>
          </w:p>
        </w:tc>
        <w:tc>
          <w:tcPr>
            <w:tcW w:w="2951" w:type="dxa"/>
            <w:tcBorders/>
          </w:tcPr>
          <w:p>
            <w:pPr>
              <w:pStyle w:val="TableContents"/>
              <w:bidi w:val="0"/>
              <w:spacing w:before="0" w:after="283"/>
              <w:jc w:val="left"/>
              <w:rPr>
                <w:sz w:val="4"/>
                <w:szCs w:val="4"/>
              </w:rPr>
            </w:pPr>
            <w:r>
              <w:rPr>
                <w:sz w:val="4"/>
                <w:szCs w:val="4"/>
              </w:rPr>
            </w:r>
          </w:p>
        </w:tc>
      </w:tr>
      <w:tr>
        <w:trPr/>
        <w:tc>
          <w:tcPr>
            <w:tcW w:w="60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2855" w:type="dxa"/>
            <w:tcBorders/>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3241" w:type="dxa"/>
            <w:tcBorders/>
          </w:tcPr>
          <w:p>
            <w:pPr>
              <w:pStyle w:val="TableContents"/>
              <w:pBdr>
                <w:bottom w:val="single" w:sz="2" w:space="1" w:color="000000"/>
              </w:pBdr>
              <w:bidi w:val="0"/>
              <w:spacing w:before="0" w:after="20"/>
              <w:jc w:val="left"/>
              <w:rPr/>
            </w:pPr>
            <w:r>
              <w:rPr/>
              <w:t> </w:t>
            </w:r>
          </w:p>
        </w:tc>
        <w:tc>
          <w:tcPr>
            <w:tcW w:w="122" w:type="dxa"/>
            <w:tcBorders/>
            <w:vAlign w:val="bottom"/>
          </w:tcPr>
          <w:p>
            <w:pPr>
              <w:pStyle w:val="TableContents"/>
              <w:bidi w:val="0"/>
              <w:spacing w:before="0" w:after="283"/>
              <w:jc w:val="left"/>
              <w:rPr/>
            </w:pPr>
            <w:r>
              <w:rPr/>
              <w:t>  </w:t>
            </w:r>
          </w:p>
        </w:tc>
        <w:tc>
          <w:tcPr>
            <w:tcW w:w="2951" w:type="dxa"/>
            <w:tcBorders/>
          </w:tcPr>
          <w:p>
            <w:pPr>
              <w:pStyle w:val="TableContents"/>
              <w:bidi w:val="0"/>
              <w:spacing w:before="0" w:after="283"/>
              <w:jc w:val="left"/>
              <w:rPr>
                <w:sz w:val="4"/>
                <w:szCs w:val="4"/>
              </w:rPr>
            </w:pPr>
            <w:r>
              <w:rPr>
                <w:sz w:val="4"/>
                <w:szCs w:val="4"/>
              </w:rPr>
            </w:r>
          </w:p>
        </w:tc>
      </w:tr>
      <w:tr>
        <w:trPr/>
        <w:tc>
          <w:tcPr>
            <w:tcW w:w="608"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2855" w:type="dxa"/>
            <w:tcBorders/>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pPr>
            <w:r>
              <w:rPr/>
              <w:t>  </w:t>
            </w:r>
          </w:p>
        </w:tc>
        <w:tc>
          <w:tcPr>
            <w:tcW w:w="3241" w:type="dxa"/>
            <w:tcBorders/>
          </w:tcPr>
          <w:p>
            <w:pPr>
              <w:pStyle w:val="TableContents"/>
              <w:bidi w:val="0"/>
              <w:spacing w:before="0" w:after="283"/>
              <w:jc w:val="left"/>
              <w:rPr/>
            </w:pPr>
            <w:r>
              <w:rPr/>
              <w:t>Signature(s)</w:t>
            </w:r>
          </w:p>
        </w:tc>
        <w:tc>
          <w:tcPr>
            <w:tcW w:w="122" w:type="dxa"/>
            <w:tcBorders/>
            <w:vAlign w:val="bottom"/>
          </w:tcPr>
          <w:p>
            <w:pPr>
              <w:pStyle w:val="TableContents"/>
              <w:bidi w:val="0"/>
              <w:spacing w:before="0" w:after="283"/>
              <w:jc w:val="left"/>
              <w:rPr/>
            </w:pPr>
            <w:r>
              <w:rPr/>
              <w:t>  </w:t>
            </w:r>
          </w:p>
        </w:tc>
        <w:tc>
          <w:tcPr>
            <w:tcW w:w="2951" w:type="dxa"/>
            <w:tcBorders/>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1"/>
        <w:gridCol w:w="3267"/>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pBdr>
                <w:bottom w:val="single" w:sz="2" w:space="1" w:color="000000"/>
              </w:pBdr>
              <w:bidi w:val="0"/>
              <w:spacing w:before="0" w:after="20"/>
              <w:jc w:val="left"/>
              <w:rPr/>
            </w:pPr>
            <w:r>
              <w:rPr/>
              <w:t> </w:t>
            </w:r>
          </w:p>
        </w:tc>
        <w:tc>
          <w:tcPr>
            <w:tcW w:w="102" w:type="dxa"/>
            <w:tcBorders/>
            <w:vAlign w:val="bottom"/>
          </w:tcPr>
          <w:p>
            <w:pPr>
              <w:pStyle w:val="TableContents"/>
              <w:bidi w:val="0"/>
              <w:spacing w:before="0" w:after="283"/>
              <w:jc w:val="left"/>
              <w:rPr/>
            </w:pPr>
            <w:r>
              <w:rPr/>
              <w:t> </w:t>
            </w:r>
          </w:p>
        </w:tc>
        <w:tc>
          <w:tcPr>
            <w:tcW w:w="336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vAlign w:val="bottom"/>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Signature Guarantee</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r>
      <w:tr>
        <w:trPr>
          <w:trHeight w:val="240" w:hRule="atLeast"/>
        </w:trPr>
        <w:tc>
          <w:tcPr>
            <w:tcW w:w="3367"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Signature(s) must be guaranteed by an eligible Guarantor Institution (banks, stock brokers, savings and loan associations and credit unions) with membership in an approved signature guarantee medallion program pursuant to Securities and Exchange Commission Rule 17Ad-15 if shares</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7"/>
        <w:gridCol w:w="202"/>
        <w:gridCol w:w="6636"/>
      </w:tblGrid>
      <w:tr>
        <w:trPr/>
        <w:tc>
          <w:tcPr>
            <w:tcW w:w="3367"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663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of Common Stock are to be issued, or</w:t>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left"/>
              <w:rPr>
                <w:rFonts w:ascii="Times New Roman" w:hAnsi="Times New Roman"/>
                <w:sz w:val="20"/>
              </w:rPr>
            </w:pPr>
            <w:r>
              <w:rPr>
                <w:rFonts w:ascii="Times New Roman" w:hAnsi="Times New Roman"/>
                <w:sz w:val="20"/>
              </w:rPr>
              <w:t>Notes are to be delivered, other than</w:t>
            </w:r>
          </w:p>
          <w:p>
            <w:pPr>
              <w:pStyle w:val="TableContents"/>
              <w:bidi w:val="0"/>
              <w:spacing w:before="0" w:after="20"/>
              <w:jc w:val="left"/>
              <w:rPr>
                <w:rFonts w:ascii="Times New Roman" w:hAnsi="Times New Roman"/>
                <w:sz w:val="20"/>
              </w:rPr>
            </w:pPr>
            <w:r>
              <w:rPr>
                <w:rFonts w:ascii="Times New Roman" w:hAnsi="Times New Roman"/>
                <w:sz w:val="20"/>
              </w:rPr>
              <w:t>to and in the name of the registered holder.</w:t>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283"/>
              <w:jc w:val="left"/>
              <w:rPr>
                <w:sz w:val="4"/>
                <w:szCs w:val="4"/>
              </w:rPr>
            </w:pPr>
            <w:r>
              <w:rPr>
                <w:sz w:val="4"/>
                <w:szCs w:val="4"/>
              </w:rPr>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left"/>
              <w:rPr>
                <w:rFonts w:ascii="Times New Roman" w:hAnsi="Times New Roman"/>
                <w:sz w:val="20"/>
              </w:rPr>
            </w:pPr>
            <w:r>
              <w:rPr>
                <w:rFonts w:ascii="Times New Roman" w:hAnsi="Times New Roman"/>
                <w:sz w:val="20"/>
              </w:rPr>
              <w:t>Fill in for registration of shares if</w:t>
            </w:r>
          </w:p>
          <w:p>
            <w:pPr>
              <w:pStyle w:val="TableContents"/>
              <w:bidi w:val="0"/>
              <w:spacing w:before="0" w:after="0"/>
              <w:jc w:val="left"/>
              <w:rPr>
                <w:rFonts w:ascii="Times New Roman" w:hAnsi="Times New Roman"/>
                <w:sz w:val="20"/>
              </w:rPr>
            </w:pPr>
            <w:r>
              <w:rPr>
                <w:rFonts w:ascii="Times New Roman" w:hAnsi="Times New Roman"/>
                <w:sz w:val="20"/>
              </w:rPr>
              <w:t>to be issued, and Notes if to</w:t>
            </w:r>
          </w:p>
          <w:p>
            <w:pPr>
              <w:pStyle w:val="TableContents"/>
              <w:bidi w:val="0"/>
              <w:spacing w:before="0" w:after="0"/>
              <w:jc w:val="left"/>
              <w:rPr>
                <w:rFonts w:ascii="Times New Roman" w:hAnsi="Times New Roman"/>
                <w:sz w:val="20"/>
              </w:rPr>
            </w:pPr>
            <w:r>
              <w:rPr>
                <w:rFonts w:ascii="Times New Roman" w:hAnsi="Times New Roman"/>
                <w:sz w:val="20"/>
              </w:rPr>
              <w:t>be delivered, other than to and in the</w:t>
            </w:r>
          </w:p>
          <w:p>
            <w:pPr>
              <w:pStyle w:val="TableContents"/>
              <w:bidi w:val="0"/>
              <w:spacing w:before="0" w:after="20"/>
              <w:jc w:val="left"/>
              <w:rPr>
                <w:rFonts w:ascii="Times New Roman" w:hAnsi="Times New Roman"/>
                <w:sz w:val="20"/>
              </w:rPr>
            </w:pPr>
            <w:r>
              <w:rPr>
                <w:rFonts w:ascii="Times New Roman" w:hAnsi="Times New Roman"/>
                <w:sz w:val="20"/>
              </w:rPr>
              <w:t>name of the registered holder:</w:t>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283"/>
              <w:jc w:val="left"/>
              <w:rPr>
                <w:sz w:val="4"/>
                <w:szCs w:val="4"/>
              </w:rPr>
            </w:pPr>
            <w:r>
              <w:rPr>
                <w:sz w:val="4"/>
                <w:szCs w:val="4"/>
              </w:rPr>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pBdr>
                <w:bottom w:val="single" w:sz="2" w:space="1" w:color="000000"/>
              </w:pBdr>
              <w:bidi w:val="0"/>
              <w:spacing w:before="0" w:after="20"/>
              <w:jc w:val="left"/>
              <w:rPr/>
            </w:pPr>
            <w:r>
              <w:rPr/>
              <w:t> </w:t>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(Name)</w:t>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283"/>
              <w:jc w:val="left"/>
              <w:rPr>
                <w:sz w:val="4"/>
                <w:szCs w:val="4"/>
              </w:rPr>
            </w:pPr>
            <w:r>
              <w:rPr>
                <w:sz w:val="4"/>
                <w:szCs w:val="4"/>
              </w:rPr>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pBdr>
                <w:bottom w:val="single" w:sz="2" w:space="1" w:color="000000"/>
              </w:pBdr>
              <w:bidi w:val="0"/>
              <w:spacing w:before="0" w:after="20"/>
              <w:jc w:val="left"/>
              <w:rPr/>
            </w:pPr>
            <w:r>
              <w:rPr/>
              <w:t> </w:t>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(Street Address)</w:t>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283"/>
              <w:jc w:val="left"/>
              <w:rPr>
                <w:sz w:val="4"/>
                <w:szCs w:val="4"/>
              </w:rPr>
            </w:pPr>
            <w:r>
              <w:rPr>
                <w:sz w:val="4"/>
                <w:szCs w:val="4"/>
              </w:rPr>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pBdr>
                <w:bottom w:val="single" w:sz="2" w:space="1" w:color="000000"/>
              </w:pBdr>
              <w:bidi w:val="0"/>
              <w:spacing w:before="0" w:after="20"/>
              <w:jc w:val="left"/>
              <w:rPr/>
            </w:pPr>
            <w:r>
              <w:rPr/>
              <w:t> </w:t>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(City, State and Zip Code)</w:t>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Please print name and address</w:t>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283"/>
              <w:jc w:val="left"/>
              <w:rPr>
                <w:sz w:val="4"/>
                <w:szCs w:val="4"/>
              </w:rPr>
            </w:pPr>
            <w:r>
              <w:rPr>
                <w:sz w:val="4"/>
                <w:szCs w:val="4"/>
              </w:rPr>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0"/>
              <w:jc w:val="left"/>
              <w:rPr>
                <w:rFonts w:ascii="Times New Roman" w:hAnsi="Times New Roman"/>
                <w:sz w:val="20"/>
              </w:rPr>
            </w:pPr>
            <w:r>
              <w:rPr>
                <w:rFonts w:ascii="Times New Roman" w:hAnsi="Times New Roman"/>
                <w:sz w:val="20"/>
              </w:rPr>
              <w:t>Principal amount to be converted (if less than all):</w:t>
            </w:r>
          </w:p>
          <w:p>
            <w:pPr>
              <w:pStyle w:val="TableContents"/>
              <w:bidi w:val="0"/>
              <w:spacing w:before="0" w:after="20"/>
              <w:jc w:val="left"/>
              <w:rPr>
                <w:rFonts w:ascii="Times New Roman" w:hAnsi="Times New Roman"/>
                <w:sz w:val="20"/>
              </w:rPr>
            </w:pPr>
            <w:r>
              <w:rPr>
                <w:rFonts w:ascii="Times New Roman" w:hAnsi="Times New Roman"/>
                <w:sz w:val="20"/>
              </w:rPr>
              <w:t>$______,000</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0"/>
              <w:jc w:val="left"/>
              <w:rPr>
                <w:rFonts w:ascii="Times New Roman" w:hAnsi="Times New Roman"/>
                <w:sz w:val="20"/>
              </w:rPr>
            </w:pPr>
            <w:r>
              <w:rPr>
                <w:rFonts w:ascii="Times New Roman" w:hAnsi="Times New Roman"/>
                <w:sz w:val="20"/>
              </w:rPr>
              <w:t>NOTICE: The above signature(s) of the Holder(s) hereof</w:t>
            </w:r>
          </w:p>
          <w:p>
            <w:pPr>
              <w:pStyle w:val="TableContents"/>
              <w:bidi w:val="0"/>
              <w:spacing w:before="0" w:after="0"/>
              <w:jc w:val="left"/>
              <w:rPr>
                <w:rFonts w:ascii="Times New Roman" w:hAnsi="Times New Roman"/>
                <w:sz w:val="20"/>
              </w:rPr>
            </w:pPr>
            <w:r>
              <w:rPr>
                <w:rFonts w:ascii="Times New Roman" w:hAnsi="Times New Roman"/>
                <w:sz w:val="20"/>
              </w:rPr>
              <w:t>must correspond with the name as written upon the face of</w:t>
            </w:r>
          </w:p>
          <w:p>
            <w:pPr>
              <w:pStyle w:val="TableContents"/>
              <w:bidi w:val="0"/>
              <w:spacing w:before="0" w:after="0"/>
              <w:jc w:val="left"/>
              <w:rPr>
                <w:rFonts w:ascii="Times New Roman" w:hAnsi="Times New Roman"/>
                <w:sz w:val="20"/>
              </w:rPr>
            </w:pPr>
            <w:r>
              <w:rPr>
                <w:rFonts w:ascii="Times New Roman" w:hAnsi="Times New Roman"/>
                <w:sz w:val="20"/>
              </w:rPr>
              <w:t>the Note in every particular without alteration or</w:t>
            </w:r>
          </w:p>
          <w:p>
            <w:pPr>
              <w:pStyle w:val="TableContents"/>
              <w:bidi w:val="0"/>
              <w:spacing w:before="0" w:after="20"/>
              <w:jc w:val="left"/>
              <w:rPr>
                <w:rFonts w:ascii="Times New Roman" w:hAnsi="Times New Roman"/>
                <w:sz w:val="20"/>
              </w:rPr>
            </w:pPr>
            <w:r>
              <w:rPr>
                <w:rFonts w:ascii="Times New Roman" w:hAnsi="Times New Roman"/>
                <w:sz w:val="20"/>
              </w:rPr>
              <w:t>enlargement or any change whatever.</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pBdr>
                <w:bottom w:val="single" w:sz="2" w:space="1" w:color="000000"/>
              </w:pBdr>
              <w:bidi w:val="0"/>
              <w:spacing w:before="0" w:after="20"/>
              <w:jc w:val="left"/>
              <w:rPr/>
            </w:pPr>
            <w:r>
              <w:rPr/>
              <w:t> </w:t>
            </w:r>
          </w:p>
        </w:tc>
      </w:tr>
      <w:tr>
        <w:trPr/>
        <w:tc>
          <w:tcPr>
            <w:tcW w:w="3367"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283"/>
              <w:jc w:val="left"/>
              <w:rPr/>
            </w:pPr>
            <w:r>
              <w:rPr/>
              <w:t>Social Security or Other Taxpayer</w:t>
            </w:r>
          </w:p>
        </w:tc>
      </w:tr>
      <w:tr>
        <w:trPr/>
        <w:tc>
          <w:tcPr>
            <w:tcW w:w="3367"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283"/>
              <w:jc w:val="left"/>
              <w:rPr/>
            </w:pPr>
            <w:r>
              <w:rPr/>
              <w:t>Identification Number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ATTACHMENT 2 </w:t>
      </w:r>
    </w:p>
    <w:p>
      <w:pPr>
        <w:pStyle w:val="TextBody"/>
        <w:bidi w:val="0"/>
        <w:spacing w:before="240" w:after="0"/>
        <w:jc w:val="center"/>
        <w:rPr>
          <w:rFonts w:ascii="Times New Roman" w:hAnsi="Times New Roman"/>
          <w:sz w:val="20"/>
        </w:rPr>
      </w:pPr>
      <w:r>
        <w:rPr>
          <w:rFonts w:ascii="Times New Roman" w:hAnsi="Times New Roman"/>
          <w:sz w:val="20"/>
        </w:rPr>
        <w:t xml:space="preserve">[FORM OF FUNDAMENTAL CHANGE REPURCHASE NOTICE]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Bank Trust Company, National Association </w:t>
            </w:r>
          </w:p>
        </w:tc>
      </w:tr>
    </w:tbl>
    <w:p>
      <w:pPr>
        <w:pStyle w:val="TextBody"/>
        <w:bidi w:val="0"/>
        <w:spacing w:before="0" w:after="0"/>
        <w:jc w:val="left"/>
        <w:rPr>
          <w:rFonts w:ascii="Times New Roman" w:hAnsi="Times New Roman"/>
          <w:sz w:val="20"/>
        </w:rPr>
      </w:pPr>
      <w:r>
        <w:rPr>
          <w:rFonts w:ascii="Times New Roman" w:hAnsi="Times New Roman"/>
          <w:sz w:val="20"/>
        </w:rPr>
        <w:t xml:space="preserve">60 Livingston Ave, </w:t>
      </w:r>
    </w:p>
    <w:p>
      <w:pPr>
        <w:pStyle w:val="TextBody"/>
        <w:bidi w:val="0"/>
        <w:spacing w:before="0" w:after="0"/>
        <w:jc w:val="left"/>
        <w:rPr>
          <w:rFonts w:ascii="Times New Roman" w:hAnsi="Times New Roman"/>
          <w:sz w:val="20"/>
        </w:rPr>
      </w:pPr>
      <w:r>
        <w:rPr>
          <w:rFonts w:ascii="Times New Roman" w:hAnsi="Times New Roman"/>
          <w:sz w:val="20"/>
        </w:rPr>
        <w:t xml:space="preserve">Saint Paul, MN 55107 </w:t>
      </w:r>
    </w:p>
    <w:p>
      <w:pPr>
        <w:pStyle w:val="TextBody"/>
        <w:bidi w:val="0"/>
        <w:spacing w:before="0" w:after="0"/>
        <w:jc w:val="left"/>
        <w:rPr>
          <w:rFonts w:ascii="Times New Roman" w:hAnsi="Times New Roman"/>
          <w:sz w:val="20"/>
        </w:rPr>
      </w:pPr>
      <w:r>
        <w:rPr>
          <w:rFonts w:ascii="Times New Roman" w:hAnsi="Times New Roman"/>
          <w:sz w:val="20"/>
        </w:rPr>
        <w:t xml:space="preserve">Attention: AEVA Technologies, Inc. Administrator </w:t>
      </w:r>
    </w:p>
    <w:p>
      <w:pPr>
        <w:pStyle w:val="TextBody"/>
        <w:bidi w:val="0"/>
        <w:spacing w:before="240" w:after="0"/>
        <w:jc w:val="left"/>
        <w:rPr>
          <w:rFonts w:ascii="Times New Roman" w:hAnsi="Times New Roman"/>
          <w:sz w:val="20"/>
        </w:rPr>
      </w:pPr>
      <w:r>
        <w:rPr>
          <w:rFonts w:ascii="Times New Roman" w:hAnsi="Times New Roman"/>
          <w:sz w:val="20"/>
        </w:rPr>
        <w:t>The undersigned registered owner of this Note hereby acknowledges receipt of a notice from AEVA Technologies, Inc. (the “</w:t>
      </w:r>
      <w:r>
        <w:rPr>
          <w:rFonts w:ascii="Times New Roman" w:hAnsi="Times New Roman"/>
          <w:b/>
          <w:sz w:val="20"/>
        </w:rPr>
        <w:t>Company</w:t>
      </w:r>
      <w:r>
        <w:rPr>
          <w:rFonts w:ascii="Times New Roman" w:hAnsi="Times New Roman"/>
          <w:sz w:val="20"/>
        </w:rPr>
        <w:t xml:space="preserve">”)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thereon to, but excluding, such Fundamental Change Repurchase Date. Capitalized terms used herein but not defined shall have the meanings ascribed to such terms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Physical Notes, the certificate numbers of the Notes to be repurchased are as set forth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61"/>
        <w:gridCol w:w="206"/>
        <w:gridCol w:w="6338"/>
      </w:tblGrid>
      <w:tr>
        <w:trPr/>
        <w:tc>
          <w:tcPr>
            <w:tcW w:w="3661"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6338" w:type="dxa"/>
            <w:tcBorders/>
            <w:vAlign w:val="center"/>
          </w:tcPr>
          <w:p>
            <w:pPr>
              <w:pStyle w:val="TableContents"/>
              <w:bidi w:val="0"/>
              <w:spacing w:before="0" w:after="283"/>
              <w:jc w:val="left"/>
              <w:rPr>
                <w:sz w:val="4"/>
                <w:szCs w:val="4"/>
              </w:rPr>
            </w:pPr>
            <w:r>
              <w:rPr>
                <w:sz w:val="4"/>
                <w:szCs w:val="4"/>
              </w:rPr>
            </w:r>
          </w:p>
        </w:tc>
      </w:tr>
      <w:tr>
        <w:trPr/>
        <w:tc>
          <w:tcPr>
            <w:tcW w:w="3661" w:type="dxa"/>
            <w:tcBorders/>
          </w:tcPr>
          <w:p>
            <w:pPr>
              <w:pStyle w:val="TableContents"/>
              <w:bidi w:val="0"/>
              <w:spacing w:before="0" w:after="283"/>
              <w:jc w:val="left"/>
              <w:rPr/>
            </w:pPr>
            <w:r>
              <w:rPr/>
              <w:t>Dated:</w:t>
            </w:r>
            <w:r>
              <w:rPr>
                <w:u w:val="single"/>
              </w:rPr>
              <w:t>               </w:t>
            </w:r>
          </w:p>
        </w:tc>
        <w:tc>
          <w:tcPr>
            <w:tcW w:w="206" w:type="dxa"/>
            <w:tcBorders/>
            <w:vAlign w:val="bottom"/>
          </w:tcPr>
          <w:p>
            <w:pPr>
              <w:pStyle w:val="TableContents"/>
              <w:bidi w:val="0"/>
              <w:spacing w:before="0" w:after="283"/>
              <w:jc w:val="left"/>
              <w:rPr/>
            </w:pPr>
            <w:r>
              <w:rPr/>
              <w:t>  </w:t>
            </w:r>
          </w:p>
        </w:tc>
        <w:tc>
          <w:tcPr>
            <w:tcW w:w="6338" w:type="dxa"/>
            <w:tcBorders/>
          </w:tcPr>
          <w:p>
            <w:pPr>
              <w:pStyle w:val="TableContents"/>
              <w:bidi w:val="0"/>
              <w:spacing w:before="0" w:after="283"/>
              <w:jc w:val="left"/>
              <w:rPr>
                <w:sz w:val="4"/>
                <w:szCs w:val="4"/>
              </w:rPr>
            </w:pPr>
            <w:r>
              <w:rPr>
                <w:sz w:val="4"/>
                <w:szCs w:val="4"/>
              </w:rPr>
            </w:r>
          </w:p>
        </w:tc>
      </w:tr>
      <w:tr>
        <w:trPr>
          <w:trHeight w:val="120" w:hRule="atLeast"/>
        </w:trPr>
        <w:tc>
          <w:tcPr>
            <w:tcW w:w="3661" w:type="dxa"/>
            <w:tcBorders/>
            <w:vAlign w:val="center"/>
          </w:tcPr>
          <w:p>
            <w:pPr>
              <w:pStyle w:val="TableContents"/>
              <w:bidi w:val="0"/>
              <w:spacing w:before="0" w:after="283"/>
              <w:jc w:val="left"/>
              <w:rPr>
                <w:sz w:val="4"/>
                <w:szCs w:val="4"/>
              </w:rPr>
            </w:pPr>
            <w:r>
              <w:rPr>
                <w:sz w:val="4"/>
                <w:szCs w:val="4"/>
              </w:rPr>
            </w:r>
          </w:p>
        </w:tc>
        <w:tc>
          <w:tcPr>
            <w:tcW w:w="6544" w:type="dxa"/>
            <w:gridSpan w:val="2"/>
            <w:tcBorders/>
            <w:vAlign w:val="center"/>
          </w:tcPr>
          <w:p>
            <w:pPr>
              <w:pStyle w:val="TableContents"/>
              <w:bidi w:val="0"/>
              <w:spacing w:before="0" w:after="283"/>
              <w:jc w:val="left"/>
              <w:rPr>
                <w:sz w:val="4"/>
                <w:szCs w:val="4"/>
              </w:rPr>
            </w:pPr>
            <w:r>
              <w:rPr>
                <w:sz w:val="4"/>
                <w:szCs w:val="4"/>
              </w:rPr>
            </w:r>
          </w:p>
        </w:tc>
      </w:tr>
      <w:tr>
        <w:trPr/>
        <w:tc>
          <w:tcPr>
            <w:tcW w:w="3661"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6338" w:type="dxa"/>
            <w:tcBorders/>
          </w:tcPr>
          <w:p>
            <w:pPr>
              <w:pStyle w:val="TableContents"/>
              <w:bidi w:val="0"/>
              <w:spacing w:before="0" w:after="283"/>
              <w:jc w:val="left"/>
              <w:rPr>
                <w:u w:val="single"/>
              </w:rPr>
            </w:pPr>
            <w:r>
              <w:rPr>
                <w:u w:val="single"/>
              </w:rPr>
              <w:t>               </w:t>
            </w:r>
          </w:p>
        </w:tc>
      </w:tr>
      <w:tr>
        <w:trPr/>
        <w:tc>
          <w:tcPr>
            <w:tcW w:w="3661"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6338" w:type="dxa"/>
            <w:tcBorders/>
          </w:tcPr>
          <w:p>
            <w:pPr>
              <w:pStyle w:val="TableContents"/>
              <w:bidi w:val="0"/>
              <w:spacing w:before="0" w:after="283"/>
              <w:jc w:val="left"/>
              <w:rPr/>
            </w:pPr>
            <w:r>
              <w:rPr/>
              <w:t>Signature(s)</w:t>
            </w:r>
          </w:p>
        </w:tc>
      </w:tr>
      <w:tr>
        <w:trPr>
          <w:trHeight w:val="120" w:hRule="atLeast"/>
        </w:trPr>
        <w:tc>
          <w:tcPr>
            <w:tcW w:w="3661" w:type="dxa"/>
            <w:tcBorders/>
            <w:vAlign w:val="center"/>
          </w:tcPr>
          <w:p>
            <w:pPr>
              <w:pStyle w:val="TableContents"/>
              <w:bidi w:val="0"/>
              <w:spacing w:before="0" w:after="283"/>
              <w:jc w:val="left"/>
              <w:rPr>
                <w:sz w:val="4"/>
                <w:szCs w:val="4"/>
              </w:rPr>
            </w:pPr>
            <w:r>
              <w:rPr>
                <w:sz w:val="4"/>
                <w:szCs w:val="4"/>
              </w:rPr>
            </w:r>
          </w:p>
        </w:tc>
        <w:tc>
          <w:tcPr>
            <w:tcW w:w="6544" w:type="dxa"/>
            <w:gridSpan w:val="2"/>
            <w:tcBorders/>
            <w:vAlign w:val="center"/>
          </w:tcPr>
          <w:p>
            <w:pPr>
              <w:pStyle w:val="TableContents"/>
              <w:bidi w:val="0"/>
              <w:spacing w:before="0" w:after="283"/>
              <w:jc w:val="left"/>
              <w:rPr>
                <w:sz w:val="4"/>
                <w:szCs w:val="4"/>
              </w:rPr>
            </w:pPr>
            <w:r>
              <w:rPr>
                <w:sz w:val="4"/>
                <w:szCs w:val="4"/>
              </w:rPr>
            </w:r>
          </w:p>
        </w:tc>
      </w:tr>
      <w:tr>
        <w:trPr/>
        <w:tc>
          <w:tcPr>
            <w:tcW w:w="3661"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6338" w:type="dxa"/>
            <w:tcBorders/>
          </w:tcPr>
          <w:p>
            <w:pPr>
              <w:pStyle w:val="TableContents"/>
              <w:bidi w:val="0"/>
              <w:spacing w:before="0" w:after="283"/>
              <w:jc w:val="left"/>
              <w:rPr>
                <w:u w:val="single"/>
              </w:rPr>
            </w:pPr>
            <w:r>
              <w:rPr>
                <w:u w:val="single"/>
              </w:rPr>
              <w:t>           </w:t>
            </w:r>
          </w:p>
        </w:tc>
      </w:tr>
      <w:tr>
        <w:trPr/>
        <w:tc>
          <w:tcPr>
            <w:tcW w:w="3661"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6338" w:type="dxa"/>
            <w:tcBorders/>
          </w:tcPr>
          <w:p>
            <w:pPr>
              <w:pStyle w:val="TableContents"/>
              <w:bidi w:val="0"/>
              <w:spacing w:before="0" w:after="283"/>
              <w:jc w:val="left"/>
              <w:rPr/>
            </w:pPr>
            <w:r>
              <w:rPr/>
              <w:t>Social Security or Other Taxpayer</w:t>
            </w:r>
          </w:p>
        </w:tc>
      </w:tr>
      <w:tr>
        <w:trPr/>
        <w:tc>
          <w:tcPr>
            <w:tcW w:w="3661"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6338" w:type="dxa"/>
            <w:tcBorders/>
          </w:tcPr>
          <w:p>
            <w:pPr>
              <w:pStyle w:val="TableContents"/>
              <w:bidi w:val="0"/>
              <w:spacing w:before="0" w:after="283"/>
              <w:jc w:val="left"/>
              <w:rPr/>
            </w:pPr>
            <w:r>
              <w:rPr/>
              <w:t>Identification Number</w:t>
            </w:r>
          </w:p>
        </w:tc>
      </w:tr>
      <w:tr>
        <w:trPr>
          <w:trHeight w:val="120" w:hRule="atLeast"/>
        </w:trPr>
        <w:tc>
          <w:tcPr>
            <w:tcW w:w="3661" w:type="dxa"/>
            <w:tcBorders/>
            <w:vAlign w:val="center"/>
          </w:tcPr>
          <w:p>
            <w:pPr>
              <w:pStyle w:val="TableContents"/>
              <w:bidi w:val="0"/>
              <w:spacing w:before="0" w:after="283"/>
              <w:jc w:val="left"/>
              <w:rPr>
                <w:sz w:val="4"/>
                <w:szCs w:val="4"/>
              </w:rPr>
            </w:pPr>
            <w:r>
              <w:rPr>
                <w:sz w:val="4"/>
                <w:szCs w:val="4"/>
              </w:rPr>
            </w:r>
          </w:p>
        </w:tc>
        <w:tc>
          <w:tcPr>
            <w:tcW w:w="6544" w:type="dxa"/>
            <w:gridSpan w:val="2"/>
            <w:tcBorders/>
            <w:vAlign w:val="center"/>
          </w:tcPr>
          <w:p>
            <w:pPr>
              <w:pStyle w:val="TableContents"/>
              <w:bidi w:val="0"/>
              <w:spacing w:before="0" w:after="283"/>
              <w:jc w:val="left"/>
              <w:rPr>
                <w:sz w:val="4"/>
                <w:szCs w:val="4"/>
              </w:rPr>
            </w:pPr>
            <w:r>
              <w:rPr>
                <w:sz w:val="4"/>
                <w:szCs w:val="4"/>
              </w:rPr>
            </w:r>
          </w:p>
        </w:tc>
      </w:tr>
      <w:tr>
        <w:trPr/>
        <w:tc>
          <w:tcPr>
            <w:tcW w:w="3661"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6338" w:type="dxa"/>
            <w:tcBorders/>
          </w:tcPr>
          <w:p>
            <w:pPr>
              <w:pStyle w:val="TableContents"/>
              <w:bidi w:val="0"/>
              <w:spacing w:before="0" w:after="0"/>
              <w:jc w:val="left"/>
              <w:rPr>
                <w:rFonts w:ascii="Times New Roman" w:hAnsi="Times New Roman"/>
                <w:sz w:val="20"/>
              </w:rPr>
            </w:pPr>
            <w:r>
              <w:rPr>
                <w:rFonts w:ascii="Times New Roman" w:hAnsi="Times New Roman"/>
                <w:sz w:val="20"/>
              </w:rPr>
              <w:t>Principal amount to be repurchased (if less than all):</w:t>
            </w:r>
          </w:p>
          <w:p>
            <w:pPr>
              <w:pStyle w:val="TableContents"/>
              <w:bidi w:val="0"/>
              <w:spacing w:before="0" w:after="20"/>
              <w:jc w:val="left"/>
              <w:rPr>
                <w:rFonts w:ascii="Times New Roman" w:hAnsi="Times New Roman"/>
                <w:sz w:val="20"/>
              </w:rPr>
            </w:pPr>
            <w:r>
              <w:rPr>
                <w:rFonts w:ascii="Times New Roman" w:hAnsi="Times New Roman"/>
                <w:sz w:val="20"/>
              </w:rPr>
              <w:t>$______,000</w:t>
            </w:r>
          </w:p>
        </w:tc>
      </w:tr>
      <w:tr>
        <w:trPr>
          <w:trHeight w:val="120" w:hRule="atLeast"/>
        </w:trPr>
        <w:tc>
          <w:tcPr>
            <w:tcW w:w="3661" w:type="dxa"/>
            <w:tcBorders/>
            <w:vAlign w:val="center"/>
          </w:tcPr>
          <w:p>
            <w:pPr>
              <w:pStyle w:val="TableContents"/>
              <w:bidi w:val="0"/>
              <w:spacing w:before="0" w:after="283"/>
              <w:jc w:val="left"/>
              <w:rPr>
                <w:sz w:val="4"/>
                <w:szCs w:val="4"/>
              </w:rPr>
            </w:pPr>
            <w:r>
              <w:rPr>
                <w:sz w:val="4"/>
                <w:szCs w:val="4"/>
              </w:rPr>
            </w:r>
          </w:p>
        </w:tc>
        <w:tc>
          <w:tcPr>
            <w:tcW w:w="6544" w:type="dxa"/>
            <w:gridSpan w:val="2"/>
            <w:tcBorders/>
            <w:vAlign w:val="center"/>
          </w:tcPr>
          <w:p>
            <w:pPr>
              <w:pStyle w:val="TableContents"/>
              <w:bidi w:val="0"/>
              <w:spacing w:before="0" w:after="283"/>
              <w:jc w:val="left"/>
              <w:rPr>
                <w:sz w:val="4"/>
                <w:szCs w:val="4"/>
              </w:rPr>
            </w:pPr>
            <w:r>
              <w:rPr>
                <w:sz w:val="4"/>
                <w:szCs w:val="4"/>
              </w:rPr>
            </w:r>
          </w:p>
        </w:tc>
      </w:tr>
      <w:tr>
        <w:trPr/>
        <w:tc>
          <w:tcPr>
            <w:tcW w:w="3661"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6338" w:type="dxa"/>
            <w:tcBorders/>
          </w:tcPr>
          <w:p>
            <w:pPr>
              <w:pStyle w:val="TableContents"/>
              <w:bidi w:val="0"/>
              <w:spacing w:before="0" w:after="0"/>
              <w:jc w:val="left"/>
              <w:rPr>
                <w:rFonts w:ascii="Times New Roman" w:hAnsi="Times New Roman"/>
                <w:sz w:val="20"/>
              </w:rPr>
            </w:pPr>
            <w:r>
              <w:rPr>
                <w:rFonts w:ascii="Times New Roman" w:hAnsi="Times New Roman"/>
                <w:sz w:val="20"/>
              </w:rPr>
              <w:t>NOTICE: The above signature(s) of the Holder(s) hereof</w:t>
            </w:r>
          </w:p>
          <w:p>
            <w:pPr>
              <w:pStyle w:val="TableContents"/>
              <w:bidi w:val="0"/>
              <w:spacing w:before="0" w:after="0"/>
              <w:jc w:val="left"/>
              <w:rPr>
                <w:rFonts w:ascii="Times New Roman" w:hAnsi="Times New Roman"/>
                <w:sz w:val="20"/>
              </w:rPr>
            </w:pPr>
            <w:r>
              <w:rPr>
                <w:rFonts w:ascii="Times New Roman" w:hAnsi="Times New Roman"/>
                <w:sz w:val="20"/>
              </w:rPr>
              <w:t>must correspond with the name as written upon the face of</w:t>
            </w:r>
          </w:p>
          <w:p>
            <w:pPr>
              <w:pStyle w:val="TableContents"/>
              <w:bidi w:val="0"/>
              <w:spacing w:before="0" w:after="0"/>
              <w:jc w:val="left"/>
              <w:rPr>
                <w:rFonts w:ascii="Times New Roman" w:hAnsi="Times New Roman"/>
                <w:sz w:val="20"/>
              </w:rPr>
            </w:pPr>
            <w:r>
              <w:rPr>
                <w:rFonts w:ascii="Times New Roman" w:hAnsi="Times New Roman"/>
                <w:sz w:val="20"/>
              </w:rPr>
              <w:t>the Note in every particular without alteration or</w:t>
            </w:r>
          </w:p>
          <w:p>
            <w:pPr>
              <w:pStyle w:val="TableContents"/>
              <w:bidi w:val="0"/>
              <w:spacing w:before="0" w:after="20"/>
              <w:jc w:val="left"/>
              <w:rPr>
                <w:rFonts w:ascii="Times New Roman" w:hAnsi="Times New Roman"/>
                <w:sz w:val="20"/>
              </w:rPr>
            </w:pPr>
            <w:r>
              <w:rPr>
                <w:rFonts w:ascii="Times New Roman" w:hAnsi="Times New Roman"/>
                <w:sz w:val="20"/>
              </w:rPr>
              <w:t>enlargement or any change whatever.</w:t>
            </w:r>
          </w:p>
        </w:tc>
      </w:tr>
      <w:tr>
        <w:trPr/>
        <w:tc>
          <w:tcPr>
            <w:tcW w:w="3661"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633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ATTACHMENT 3 </w:t>
      </w:r>
    </w:p>
    <w:p>
      <w:pPr>
        <w:pStyle w:val="TextBody"/>
        <w:bidi w:val="0"/>
        <w:spacing w:before="240" w:after="0"/>
        <w:jc w:val="center"/>
        <w:rPr>
          <w:rFonts w:ascii="Times New Roman" w:hAnsi="Times New Roman"/>
          <w:sz w:val="20"/>
        </w:rPr>
      </w:pPr>
      <w:r>
        <w:rPr>
          <w:rFonts w:ascii="Times New Roman" w:hAnsi="Times New Roman"/>
          <w:sz w:val="20"/>
        </w:rPr>
        <w:t xml:space="preserve">[FORM OF ASSIGNMENT AND TRANSFER]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____________________________ hereby sell(s), assign(s) and transfer(s) unto _________________ (Please insert social security or Taxpayer Identification Number of assignee) the within Note, and hereby irrevocably constitutes and appoints _____________________ attorney to transfer the said Note on the books of the Company, with full power of substitution in the premises.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transfer of the within Note occurring prior to the time when the Company delivers written notice to the Trustee for the removal of the restrictive legend affixed to such Note, the undersigned confirms that such Note is being transferred: </w:t>
      </w:r>
    </w:p>
    <w:p>
      <w:pPr>
        <w:pStyle w:val="TextBody"/>
        <w:bidi w:val="0"/>
        <w:spacing w:before="240" w:after="0"/>
        <w:jc w:val="left"/>
        <w:rPr/>
      </w:pPr>
      <w:r>
        <w:rPr/>
        <w:t>☐ </w:t>
      </w:r>
      <w:r>
        <w:rPr>
          <w:rFonts w:ascii="Times New Roman" w:hAnsi="Times New Roman"/>
          <w:sz w:val="20"/>
        </w:rPr>
        <w:t xml:space="preserve">To AEVA Technologies, Inc. or a subsidiary thereof; or </w:t>
      </w:r>
    </w:p>
    <w:p>
      <w:pPr>
        <w:pStyle w:val="TextBody"/>
        <w:bidi w:val="0"/>
        <w:spacing w:before="240" w:after="0"/>
        <w:jc w:val="left"/>
        <w:rPr/>
      </w:pPr>
      <w:r>
        <w:rPr/>
        <w:t>☐ </w:t>
      </w:r>
      <w:r>
        <w:rPr>
          <w:rFonts w:ascii="Times New Roman" w:hAnsi="Times New Roman"/>
          <w:sz w:val="20"/>
        </w:rPr>
        <w:t xml:space="preserve">Pursuant to a registration statement that has become or been declared effective under the Securities Act of 1933, as amended and that continues to be effective at the time of such transfer; or </w:t>
      </w:r>
    </w:p>
    <w:p>
      <w:pPr>
        <w:pStyle w:val="TextBody"/>
        <w:bidi w:val="0"/>
        <w:spacing w:before="240" w:after="0"/>
        <w:jc w:val="left"/>
        <w:rPr/>
      </w:pPr>
      <w:r>
        <w:rPr/>
        <w:t>☐ </w:t>
      </w:r>
      <w:r>
        <w:rPr>
          <w:rFonts w:ascii="Times New Roman" w:hAnsi="Times New Roman"/>
          <w:sz w:val="20"/>
        </w:rPr>
        <w:t xml:space="preserve">Pursuant to and in compliance with Rule 144A under the Securities Act of 1933, as amended; or </w:t>
      </w:r>
    </w:p>
    <w:p>
      <w:pPr>
        <w:pStyle w:val="TextBody"/>
        <w:bidi w:val="0"/>
        <w:spacing w:before="240" w:after="0"/>
        <w:jc w:val="left"/>
        <w:rPr/>
      </w:pPr>
      <w:r>
        <w:rPr/>
        <w:t>☐ </w:t>
      </w:r>
      <w:r>
        <w:rPr>
          <w:rFonts w:ascii="Times New Roman" w:hAnsi="Times New Roman"/>
          <w:sz w:val="20"/>
        </w:rPr>
        <w:t xml:space="preserve">Pursuant to and in compliance with Rule 144 under the Securities Act of 1933, as amended, or any other available exemption from the registration requirements of the Securities Act of 1933,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Dated: ________________________ </w:t>
      </w:r>
    </w:p>
    <w:p>
      <w:pPr>
        <w:pStyle w:val="TextBody"/>
        <w:bidi w:val="0"/>
        <w:spacing w:before="0" w:after="0"/>
        <w:jc w:val="left"/>
        <w:rPr/>
      </w:pPr>
      <w:r>
        <w:rPr/>
        <w:t> </w:t>
      </w:r>
    </w:p>
    <w:p>
      <w:pPr>
        <w:pStyle w:val="TextBody"/>
        <w:bidi w:val="0"/>
        <w:spacing w:before="240" w:after="0"/>
        <w:jc w:val="left"/>
        <w:rPr/>
      </w:pPr>
      <w:r>
        <w:rPr>
          <w:u w:val="single"/>
        </w:rPr>
        <w:t>                  </w:t>
      </w:r>
      <w:r>
        <w:rPr/>
        <w:t xml:space="preserve"> </w:t>
      </w:r>
    </w:p>
    <w:p>
      <w:pPr>
        <w:pStyle w:val="TextBody"/>
        <w:bidi w:val="0"/>
        <w:spacing w:before="0" w:after="0"/>
        <w:jc w:val="left"/>
        <w:rPr/>
      </w:pPr>
      <w:r>
        <w:rPr/>
        <w:t> </w:t>
      </w:r>
    </w:p>
    <w:p>
      <w:pPr>
        <w:pStyle w:val="TextBody"/>
        <w:bidi w:val="0"/>
        <w:spacing w:before="240" w:after="0"/>
        <w:jc w:val="left"/>
        <w:rPr/>
      </w:pPr>
      <w:r>
        <w:rPr>
          <w:u w:val="single"/>
        </w:rPr>
        <w:t>                  </w:t>
      </w: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Signature(s) </w:t>
      </w:r>
    </w:p>
    <w:p>
      <w:pPr>
        <w:pStyle w:val="TextBody"/>
        <w:bidi w:val="0"/>
        <w:spacing w:before="0" w:after="0"/>
        <w:jc w:val="left"/>
        <w:rPr/>
      </w:pPr>
      <w:r>
        <w:rPr/>
        <w:t> </w:t>
      </w:r>
    </w:p>
    <w:p>
      <w:pPr>
        <w:pStyle w:val="TextBody"/>
        <w:bidi w:val="0"/>
        <w:spacing w:before="240" w:after="0"/>
        <w:jc w:val="left"/>
        <w:rPr/>
      </w:pPr>
      <w:r>
        <w:rPr>
          <w:u w:val="single"/>
        </w:rPr>
        <w:t>                  </w:t>
      </w: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Signature Guarantee </w:t>
      </w:r>
    </w:p>
    <w:p>
      <w:pPr>
        <w:pStyle w:val="TextBody"/>
        <w:bidi w:val="0"/>
        <w:spacing w:before="240" w:after="0"/>
        <w:jc w:val="left"/>
        <w:rPr>
          <w:rFonts w:ascii="Times New Roman" w:hAnsi="Times New Roman"/>
          <w:sz w:val="20"/>
        </w:rPr>
      </w:pPr>
      <w:r>
        <w:rPr>
          <w:rFonts w:ascii="Times New Roman" w:hAnsi="Times New Roman"/>
          <w:sz w:val="20"/>
        </w:rPr>
        <w:t xml:space="preserve">Signature(s) must be guaranteed by an </w:t>
      </w:r>
    </w:p>
    <w:p>
      <w:pPr>
        <w:pStyle w:val="TextBody"/>
        <w:bidi w:val="0"/>
        <w:spacing w:before="0" w:after="0"/>
        <w:jc w:val="left"/>
        <w:rPr>
          <w:rFonts w:ascii="Times New Roman" w:hAnsi="Times New Roman"/>
          <w:sz w:val="20"/>
        </w:rPr>
      </w:pPr>
      <w:r>
        <w:rPr>
          <w:rFonts w:ascii="Times New Roman" w:hAnsi="Times New Roman"/>
          <w:sz w:val="20"/>
        </w:rPr>
        <w:t xml:space="preserve">eligible Guarantor Institution (banks, stock </w:t>
      </w:r>
    </w:p>
    <w:p>
      <w:pPr>
        <w:pStyle w:val="TextBody"/>
        <w:bidi w:val="0"/>
        <w:spacing w:before="0" w:after="0"/>
        <w:jc w:val="left"/>
        <w:rPr>
          <w:rFonts w:ascii="Times New Roman" w:hAnsi="Times New Roman"/>
          <w:sz w:val="20"/>
        </w:rPr>
      </w:pPr>
      <w:r>
        <w:rPr>
          <w:rFonts w:ascii="Times New Roman" w:hAnsi="Times New Roman"/>
          <w:sz w:val="20"/>
        </w:rPr>
        <w:t xml:space="preserve">brokers, savings and loan associations and </w:t>
      </w:r>
    </w:p>
    <w:p>
      <w:pPr>
        <w:pStyle w:val="TextBody"/>
        <w:bidi w:val="0"/>
        <w:spacing w:before="0" w:after="0"/>
        <w:jc w:val="left"/>
        <w:rPr>
          <w:rFonts w:ascii="Times New Roman" w:hAnsi="Times New Roman"/>
          <w:sz w:val="20"/>
        </w:rPr>
      </w:pPr>
      <w:r>
        <w:rPr>
          <w:rFonts w:ascii="Times New Roman" w:hAnsi="Times New Roman"/>
          <w:sz w:val="20"/>
        </w:rPr>
        <w:t xml:space="preserve">credit unions) with membership in an approved </w:t>
      </w:r>
    </w:p>
    <w:p>
      <w:pPr>
        <w:pStyle w:val="TextBody"/>
        <w:bidi w:val="0"/>
        <w:spacing w:before="0" w:after="0"/>
        <w:jc w:val="left"/>
        <w:rPr>
          <w:rFonts w:ascii="Times New Roman" w:hAnsi="Times New Roman"/>
          <w:sz w:val="20"/>
        </w:rPr>
      </w:pPr>
      <w:r>
        <w:rPr>
          <w:rFonts w:ascii="Times New Roman" w:hAnsi="Times New Roman"/>
          <w:sz w:val="20"/>
        </w:rPr>
        <w:t xml:space="preserve">signature guarantee medallion program pursuant </w:t>
      </w:r>
    </w:p>
    <w:p>
      <w:pPr>
        <w:pStyle w:val="TextBody"/>
        <w:bidi w:val="0"/>
        <w:spacing w:before="0" w:after="0"/>
        <w:jc w:val="left"/>
        <w:rPr>
          <w:rFonts w:ascii="Times New Roman" w:hAnsi="Times New Roman"/>
          <w:sz w:val="20"/>
        </w:rPr>
      </w:pPr>
      <w:r>
        <w:rPr>
          <w:rFonts w:ascii="Times New Roman" w:hAnsi="Times New Roman"/>
          <w:sz w:val="20"/>
        </w:rPr>
        <w:t xml:space="preserve">to 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Rule 17Ad-15 if Notes are to be delivered, other </w:t>
      </w:r>
    </w:p>
    <w:p>
      <w:pPr>
        <w:pStyle w:val="TextBody"/>
        <w:bidi w:val="0"/>
        <w:spacing w:before="0" w:after="0"/>
        <w:jc w:val="left"/>
        <w:rPr>
          <w:rFonts w:ascii="Times New Roman" w:hAnsi="Times New Roman"/>
          <w:sz w:val="20"/>
        </w:rPr>
      </w:pPr>
      <w:r>
        <w:rPr>
          <w:rFonts w:ascii="Times New Roman" w:hAnsi="Times New Roman"/>
          <w:sz w:val="20"/>
        </w:rPr>
        <w:t xml:space="preserve">than to and in the name of the registered holder. </w:t>
      </w:r>
    </w:p>
    <w:p>
      <w:pPr>
        <w:pStyle w:val="TextBody"/>
        <w:bidi w:val="0"/>
        <w:spacing w:before="240" w:after="0"/>
        <w:jc w:val="left"/>
        <w:rPr>
          <w:rFonts w:ascii="Times New Roman" w:hAnsi="Times New Roman"/>
          <w:sz w:val="20"/>
        </w:rPr>
      </w:pPr>
      <w:r>
        <w:rPr>
          <w:rFonts w:ascii="Times New Roman" w:hAnsi="Times New Roman"/>
          <w:sz w:val="20"/>
        </w:rPr>
        <w:t xml:space="preserve">NOTICE: The signature on the assignment must correspond with the name as written upon the face of the Note in every particular without alteration or enlargement or any change whatever.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THIS SECURITY AND THE COMMON STOCK, IF ANY, ISSUABLE UPON CONVERSION OF, OR THE PAYMENT OF INTEREST ON,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 </w:t>
      </w:r>
    </w:p>
    <w:p>
      <w:pPr>
        <w:pStyle w:val="TextBody"/>
        <w:bidi w:val="0"/>
        <w:spacing w:before="240" w:after="0"/>
        <w:jc w:val="left"/>
        <w:rPr>
          <w:rFonts w:ascii="Times New Roman" w:hAnsi="Times New Roman"/>
          <w:sz w:val="20"/>
        </w:rPr>
      </w:pPr>
      <w:r>
        <w:rPr>
          <w:rFonts w:ascii="Times New Roman" w:hAnsi="Times New Roman"/>
          <w:sz w:val="20"/>
        </w:rPr>
        <w:t xml:space="preserve">(1) REPRESENTS THAT IT AND ANY ACCOUNT FOR WHICH IT IS ACTING IS A “QUALIFIED INSTITUTIONAL BUYER” (WITHIN THE MEANING OF RULE 144A UNDER THE SECURITIES ACT) AND THAT IT EXERCISES SOLE INVESTMENT DISCRETION WITH RESPECT TO EACH SUCH ACCOUNT, AND </w:t>
      </w:r>
    </w:p>
    <w:p>
      <w:pPr>
        <w:pStyle w:val="TextBody"/>
        <w:bidi w:val="0"/>
        <w:spacing w:before="240" w:after="0"/>
        <w:jc w:val="left"/>
        <w:rPr>
          <w:rFonts w:ascii="Times New Roman" w:hAnsi="Times New Roman"/>
          <w:sz w:val="20"/>
        </w:rPr>
      </w:pPr>
      <w:r>
        <w:rPr>
          <w:rFonts w:ascii="Times New Roman" w:hAnsi="Times New Roman"/>
          <w:sz w:val="20"/>
        </w:rPr>
        <w:t xml:space="preserve">(2) AGREES FOR THE BENEFIT OF AEVA TECHNOLOGIES, INC. (THE “COMPANY”) THAT IT WILL NOT OFFER, SELL, PLEDGE OR OTHERWISE TRANSFER THIS SECURITY AND THE COMMON STOCK, IF ANY, ISSUABLE UPON CONVERSION OF THIS SECURITY, OR ANY BENEFICIAL INTEREST HEREIN OR THEREIN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 </w:t>
      </w:r>
    </w:p>
    <w:p>
      <w:pPr>
        <w:pStyle w:val="TextBody"/>
        <w:bidi w:val="0"/>
        <w:spacing w:before="240" w:after="0"/>
        <w:jc w:val="left"/>
        <w:rPr>
          <w:rFonts w:ascii="Times New Roman" w:hAnsi="Times New Roman"/>
          <w:sz w:val="20"/>
        </w:rPr>
      </w:pPr>
      <w:r>
        <w:rPr>
          <w:rFonts w:ascii="Times New Roman" w:hAnsi="Times New Roman"/>
          <w:sz w:val="20"/>
        </w:rPr>
        <w:t xml:space="preserve">(A) TO THE COMPANY OR ANY SUBSIDIARY THEREOF, OR </w:t>
      </w:r>
    </w:p>
    <w:p>
      <w:pPr>
        <w:pStyle w:val="TextBody"/>
        <w:bidi w:val="0"/>
        <w:spacing w:before="240" w:after="0"/>
        <w:jc w:val="left"/>
        <w:rPr>
          <w:rFonts w:ascii="Times New Roman" w:hAnsi="Times New Roman"/>
          <w:sz w:val="20"/>
        </w:rPr>
      </w:pPr>
      <w:r>
        <w:rPr>
          <w:rFonts w:ascii="Times New Roman" w:hAnsi="Times New Roman"/>
          <w:sz w:val="20"/>
        </w:rPr>
        <w:t xml:space="preserve">(B) PURSUANT TO A REGISTRATION STATEMENT WHICH HAS BECOME EFFECTIVE UNDER THE SECURITIES ACT, OR </w:t>
      </w:r>
    </w:p>
    <w:p>
      <w:pPr>
        <w:pStyle w:val="TextBody"/>
        <w:bidi w:val="0"/>
        <w:spacing w:before="240" w:after="0"/>
        <w:jc w:val="left"/>
        <w:rPr>
          <w:rFonts w:ascii="Times New Roman" w:hAnsi="Times New Roman"/>
          <w:sz w:val="20"/>
        </w:rPr>
      </w:pPr>
      <w:r>
        <w:rPr>
          <w:rFonts w:ascii="Times New Roman" w:hAnsi="Times New Roman"/>
          <w:sz w:val="20"/>
        </w:rPr>
        <w:t xml:space="preserve">(C) TO A PERSON REASONABLY BELIEVED TO BE A QUALIFIED INSTITUTIONAL BUYER IN COMPLIANCE WITH RULE 144A UNDER THE SECURITIES ACT,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PURSUANT TO AN EXEMPTION FROM REGISTRATION PROVIDED BY RULE 144 UNDER THE SECURITIES ACT OR ANY OTHER AVAILABLE EXEMPTION FROM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AEVA Technologies, Inc. </w:t>
      </w:r>
    </w:p>
    <w:p>
      <w:pPr>
        <w:pStyle w:val="TextBody"/>
        <w:bidi w:val="0"/>
        <w:spacing w:before="240" w:after="0"/>
        <w:jc w:val="center"/>
        <w:rPr>
          <w:rFonts w:ascii="Times New Roman" w:hAnsi="Times New Roman"/>
          <w:sz w:val="20"/>
        </w:rPr>
      </w:pPr>
      <w:r>
        <w:rPr>
          <w:rFonts w:ascii="Times New Roman" w:hAnsi="Times New Roman"/>
          <w:sz w:val="20"/>
        </w:rPr>
        <w:t xml:space="preserve">4.375% Convertible Senior Note due 2032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95"/>
        <w:gridCol w:w="122"/>
        <w:gridCol w:w="1962"/>
        <w:gridCol w:w="122"/>
        <w:gridCol w:w="4004"/>
      </w:tblGrid>
      <w:tr>
        <w:trPr/>
        <w:tc>
          <w:tcPr>
            <w:tcW w:w="399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004" w:type="dxa"/>
            <w:tcBorders/>
            <w:vAlign w:val="center"/>
          </w:tcPr>
          <w:p>
            <w:pPr>
              <w:pStyle w:val="TableContents"/>
              <w:bidi w:val="0"/>
              <w:spacing w:before="0" w:after="283"/>
              <w:jc w:val="left"/>
              <w:rPr>
                <w:sz w:val="4"/>
                <w:szCs w:val="4"/>
              </w:rPr>
            </w:pPr>
            <w:r>
              <w:rPr>
                <w:sz w:val="4"/>
                <w:szCs w:val="4"/>
              </w:rPr>
            </w:r>
          </w:p>
        </w:tc>
      </w:tr>
      <w:tr>
        <w:trPr/>
        <w:tc>
          <w:tcPr>
            <w:tcW w:w="3995" w:type="dxa"/>
            <w:tcBorders/>
          </w:tcPr>
          <w:p>
            <w:pPr>
              <w:pStyle w:val="TableContents"/>
              <w:bidi w:val="0"/>
              <w:spacing w:before="0" w:after="283"/>
              <w:jc w:val="left"/>
              <w:rPr/>
            </w:pPr>
            <w:r>
              <w:rPr/>
              <w:t>No. R-1</w:t>
            </w:r>
          </w:p>
        </w:tc>
        <w:tc>
          <w:tcPr>
            <w:tcW w:w="122" w:type="dxa"/>
            <w:tcBorders/>
            <w:vAlign w:val="bottom"/>
          </w:tcPr>
          <w:p>
            <w:pPr>
              <w:pStyle w:val="TableContents"/>
              <w:bidi w:val="0"/>
              <w:spacing w:before="0" w:after="283"/>
              <w:jc w:val="left"/>
              <w:rPr/>
            </w:pPr>
            <w:r>
              <w:rPr/>
              <w:t>  </w:t>
            </w:r>
          </w:p>
        </w:tc>
        <w:tc>
          <w:tcPr>
            <w:tcW w:w="196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004" w:type="dxa"/>
            <w:tcBorders/>
          </w:tcPr>
          <w:p>
            <w:pPr>
              <w:pStyle w:val="TableContents"/>
              <w:bidi w:val="0"/>
              <w:spacing w:before="0" w:after="283"/>
              <w:jc w:val="left"/>
              <w:rPr/>
            </w:pPr>
            <w:r>
              <w:rPr/>
              <w:t>Initially $100,000,000</w:t>
            </w:r>
          </w:p>
        </w:tc>
      </w:tr>
    </w:tbl>
    <w:p>
      <w:pPr>
        <w:pStyle w:val="TextBody"/>
        <w:bidi w:val="0"/>
        <w:spacing w:before="240" w:after="0"/>
        <w:jc w:val="left"/>
        <w:rPr>
          <w:rFonts w:ascii="Times New Roman" w:hAnsi="Times New Roman"/>
          <w:sz w:val="20"/>
        </w:rPr>
      </w:pPr>
      <w:r>
        <w:rPr>
          <w:rFonts w:ascii="Times New Roman" w:hAnsi="Times New Roman"/>
          <w:sz w:val="20"/>
        </w:rPr>
        <w:t xml:space="preserve">CUSIP No. 00835Q AA11 </w:t>
      </w:r>
    </w:p>
    <w:p>
      <w:pPr>
        <w:pStyle w:val="TextBody"/>
        <w:bidi w:val="0"/>
        <w:spacing w:before="240" w:after="0"/>
        <w:jc w:val="left"/>
        <w:rPr>
          <w:rFonts w:ascii="Times New Roman" w:hAnsi="Times New Roman"/>
          <w:sz w:val="20"/>
        </w:rPr>
      </w:pPr>
      <w:r>
        <w:rPr>
          <w:rFonts w:ascii="Times New Roman" w:hAnsi="Times New Roman"/>
          <w:sz w:val="20"/>
        </w:rPr>
        <w:t>AEVA Technology, Inc., a corporation duly organized and validly existing under the laws of the State of Delaware (the “</w:t>
      </w:r>
      <w:r>
        <w:rPr>
          <w:rFonts w:ascii="Times New Roman" w:hAnsi="Times New Roman"/>
          <w:b/>
          <w:sz w:val="20"/>
        </w:rPr>
        <w:t>Company</w:t>
      </w:r>
      <w:r>
        <w:rPr>
          <w:rFonts w:ascii="Times New Roman" w:hAnsi="Times New Roman"/>
          <w:sz w:val="20"/>
        </w:rPr>
        <w:t xml:space="preserve">,” which term includes any successor corporation or other entity under the Indenture referred to on the reverse hereof), for value received hereby promises to pay to CEDE &amp; CO., or registered assigns, the principal sum as set forth in the “Schedule of Exchanges of Notes” attached hereto, which amount, taken together with the principal amounts of all other outstanding Notes, shall not, unless permitted by the Indenture, exceed $100,000,000 in aggregate at any time, in accordance with the rules and applicable procedures of the Depositary, on November 15, 2032, and interest thereon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This Note shall bear interest at the rate of 4.375% per year from November 6, 2025, or from the most recent date to which interest has been paid or provided for to, but excluding, the next scheduled Interest Payment Date. Interest is payable semi-annually in arrears on each May 15 and November 15, commencing on May 15, 2026, to Holders of record at the close of business on the preceding May 1 and November 1 (whether or not such day is a Business Day), respectively. Additional Interest will be payable as set forth in Section 4.06(d) and Section 6.03 of the within-mentioned Indenture, and any reference to interest on, or in respect of, any Note therein shall be deemed to include Additional Interest if, in such context, Additional Interest is, was or would be payable pursuant to any of such Section 4.06(d) or Section 6.03, and any express mention of the payment of Additional Interest in any provision therein shall not be construed as excluding Additional Interest in those provisions thereof where such express mention is not made. </w:t>
      </w:r>
    </w:p>
    <w:p>
      <w:pPr>
        <w:pStyle w:val="TextBody"/>
        <w:bidi w:val="0"/>
        <w:spacing w:before="240" w:after="0"/>
        <w:jc w:val="left"/>
        <w:rPr>
          <w:rFonts w:ascii="Times New Roman" w:hAnsi="Times New Roman"/>
          <w:sz w:val="20"/>
        </w:rPr>
      </w:pPr>
      <w:r>
        <w:rPr>
          <w:rFonts w:ascii="Times New Roman" w:hAnsi="Times New Roman"/>
          <w:sz w:val="20"/>
        </w:rPr>
        <w:t xml:space="preserve">Any Defaulted Amounts shall accrue interest per annum at the rate borne by the Notes, subject to the enforceability thereof under applicable law, from, and including, the relevant payment date to, but excluding, the date on which such Defaulted Amounts shall have been paid by the Company, at its election, in accordance with Section 2.03(c)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or cause the Paying Agent to pay, the principal of and interest on this Note, if and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Corporate Trust Office in the continental United States of America as a place where Notes may be presented for payment or for registration of transfer and exchange.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Note will be deemed to be identified by CUSIP No. 00835Q AB9 from and after such time when (i) the Company delivers written notice to the Trustee for the removal of the restrictive legend affixed to this Note and (ii) this Note is identified by such CUSIP number in accordance with the applicable procedures of the Depositary.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Reference is made to the further provisions of this Note set forth on the reverse hereof, including, without limitation, provisions giving the Holder of this Note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 </w:t>
      </w:r>
    </w:p>
    <w:p>
      <w:pPr>
        <w:pStyle w:val="TextBody"/>
        <w:bidi w:val="0"/>
        <w:spacing w:before="240" w:after="0"/>
        <w:jc w:val="left"/>
        <w:rPr>
          <w:rFonts w:ascii="Times New Roman" w:hAnsi="Times New Roman"/>
          <w:b/>
          <w:sz w:val="20"/>
        </w:rPr>
      </w:pPr>
      <w:r>
        <w:rPr>
          <w:rFonts w:ascii="Times New Roman" w:hAnsi="Times New Roman"/>
          <w:b/>
          <w:sz w:val="20"/>
        </w:rPr>
        <w:t xml:space="preserve">This Note, and any claim, controversy or dispute arising under or related to this Note, shall be construed in accordance with and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conflict between this Note and the Indenture, the provisions of the Indenture shall control and govern. </w:t>
      </w:r>
    </w:p>
    <w:p>
      <w:pPr>
        <w:pStyle w:val="TextBody"/>
        <w:bidi w:val="0"/>
        <w:spacing w:before="240" w:after="0"/>
        <w:jc w:val="left"/>
        <w:rPr>
          <w:rFonts w:ascii="Times New Roman" w:hAnsi="Times New Roman"/>
          <w:sz w:val="20"/>
        </w:rPr>
      </w:pPr>
      <w:r>
        <w:rPr>
          <w:rFonts w:ascii="Times New Roman" w:hAnsi="Times New Roman"/>
          <w:sz w:val="20"/>
        </w:rPr>
        <w:t xml:space="preserve">This Note shall not be valid or become obligatory for any purpose until the certificate of authentication hereon shall have been signed manually by the Trustee or a duly authorized authenticating agent under the Indenture.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Note to be duly executed.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AEVA TECHNOLOGIES,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Soroush Salehian Dardashti</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Soroush Salehian Dardashti</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November 6, 2025 </w:t>
      </w:r>
    </w:p>
    <w:p>
      <w:pPr>
        <w:pStyle w:val="TextBody"/>
        <w:bidi w:val="0"/>
        <w:spacing w:before="240" w:after="0"/>
        <w:jc w:val="left"/>
        <w:rPr>
          <w:rFonts w:ascii="Times New Roman" w:hAnsi="Times New Roman"/>
          <w:sz w:val="20"/>
        </w:rPr>
      </w:pPr>
      <w:r>
        <w:rPr>
          <w:rFonts w:ascii="Times New Roman" w:hAnsi="Times New Roman"/>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Trustee, certifies that this is one of the Notes described </w:t>
      </w:r>
    </w:p>
    <w:p>
      <w:pPr>
        <w:pStyle w:val="TextBody"/>
        <w:bidi w:val="0"/>
        <w:spacing w:before="0" w:after="0"/>
        <w:jc w:val="left"/>
        <w:rPr>
          <w:rFonts w:ascii="Times New Roman" w:hAnsi="Times New Roman"/>
          <w:sz w:val="20"/>
        </w:rPr>
      </w:pPr>
      <w:r>
        <w:rPr>
          <w:rFonts w:ascii="Times New Roman" w:hAnsi="Times New Roman"/>
          <w:sz w:val="20"/>
        </w:rPr>
        <w:t xml:space="preserve">in the within-named Indenture.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Authorized Signatory</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AEVA Technologies Inc. </w:t>
      </w:r>
    </w:p>
    <w:p>
      <w:pPr>
        <w:pStyle w:val="TextBody"/>
        <w:bidi w:val="0"/>
        <w:spacing w:before="0" w:after="0"/>
        <w:jc w:val="center"/>
        <w:rPr>
          <w:rFonts w:ascii="Times New Roman" w:hAnsi="Times New Roman"/>
          <w:sz w:val="20"/>
        </w:rPr>
      </w:pPr>
      <w:r>
        <w:rPr>
          <w:rFonts w:ascii="Times New Roman" w:hAnsi="Times New Roman"/>
          <w:sz w:val="20"/>
        </w:rPr>
        <w:t xml:space="preserve">4.375% Convertible Senior Note due 2032 </w:t>
      </w:r>
    </w:p>
    <w:p>
      <w:pPr>
        <w:pStyle w:val="TextBody"/>
        <w:bidi w:val="0"/>
        <w:spacing w:before="240" w:after="0"/>
        <w:jc w:val="left"/>
        <w:rPr>
          <w:rFonts w:ascii="Times New Roman" w:hAnsi="Times New Roman"/>
          <w:sz w:val="20"/>
        </w:rPr>
      </w:pPr>
      <w:r>
        <w:rPr>
          <w:rFonts w:ascii="Times New Roman" w:hAnsi="Times New Roman"/>
          <w:sz w:val="20"/>
        </w:rPr>
        <w:t>This Note is one of a duly authorized issue of Notes of the Company, designated as its 4.375% Convertible Senior Notes due 2032 (the “</w:t>
      </w:r>
      <w:r>
        <w:rPr>
          <w:rFonts w:ascii="Times New Roman" w:hAnsi="Times New Roman"/>
          <w:b/>
          <w:sz w:val="20"/>
        </w:rPr>
        <w:t>Notes</w:t>
      </w:r>
      <w:r>
        <w:rPr>
          <w:rFonts w:ascii="Times New Roman" w:hAnsi="Times New Roman"/>
          <w:sz w:val="20"/>
        </w:rPr>
        <w:t>”), limited to the aggregate principal amount of $100,000,000, all issued or to be issued under and pursuant to an Indenture dated as of November 6, 2025 (the “</w:t>
      </w:r>
      <w:r>
        <w:rPr>
          <w:rFonts w:ascii="Times New Roman" w:hAnsi="Times New Roman"/>
          <w:b/>
          <w:sz w:val="20"/>
        </w:rPr>
        <w:t>Indenture</w:t>
      </w:r>
      <w:r>
        <w:rPr>
          <w:rFonts w:ascii="Times New Roman" w:hAnsi="Times New Roman"/>
          <w:sz w:val="20"/>
        </w:rPr>
        <w:t>”), between the Company and U.S. Bank Trust Company, National Association, as trustee (the “</w:t>
      </w:r>
      <w:r>
        <w:rPr>
          <w:rFonts w:ascii="Times New Roman" w:hAnsi="Times New Roman"/>
          <w:b/>
          <w:sz w:val="20"/>
        </w:rPr>
        <w:t>Trustee</w:t>
      </w:r>
      <w:r>
        <w:rPr>
          <w:rFonts w:ascii="Times New Roman" w:hAnsi="Times New Roman"/>
          <w:sz w:val="20"/>
        </w:rPr>
        <w:t xml:space="preserve">”), to which Indenture and all indentures supplemental thereto reference is hereby made for a description of the rights, limitations of rights, obligations, duties and immunities thereunder of the Trustee, the Company and the Holders. Additional Notes may be issued in an unlimited aggregate principal amount, subject to certain conditions specified in the Indenture. Capitalized terms used in this Note and not defined in this Note shall have the respective meanings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the Indenture, the Company will make all payments and deliveries in respect of the Fundamental Change Repurchase Price on the Fundamental Change Repurchase Date, the Redemption Price on any Redemption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 </w:t>
      </w:r>
    </w:p>
    <w:p>
      <w:pPr>
        <w:pStyle w:val="TextBody"/>
        <w:bidi w:val="0"/>
        <w:spacing w:before="240" w:after="0"/>
        <w:jc w:val="left"/>
        <w:rPr>
          <w:rFonts w:ascii="Times New Roman" w:hAnsi="Times New Roman"/>
          <w:sz w:val="20"/>
        </w:rPr>
      </w:pPr>
      <w:r>
        <w:rPr>
          <w:rFonts w:ascii="Times New Roman" w:hAnsi="Times New Roman"/>
          <w:sz w:val="20"/>
        </w:rPr>
        <w:t xml:space="preserve">Each Holder shall have the right to receive payment or delivery, as the case may be, of (x) the principal (including the Redemption Price and the Fundamental Change Repurchase Price, if applicable) of, (y) accrued and unpaid interest on, and (z) the consideration due upon conversion of, this Note at the place, at the respective times, at the rate and in the lawful money or shares of Common Stock, as the case may be, herein prescribed.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Notes are issuable in registered form without coupons in minimum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issue tax that may be imposed in connection therewith as a result of the name of the Holder of the new Notes issued upon such exchange of Notes being different from the name of the Holder of the old Notes surrendered for such exchange. </w:t>
      </w:r>
    </w:p>
    <w:p>
      <w:pPr>
        <w:pStyle w:val="TextBody"/>
        <w:bidi w:val="0"/>
        <w:spacing w:before="240" w:after="0"/>
        <w:jc w:val="left"/>
        <w:rPr>
          <w:rFonts w:ascii="Times New Roman" w:hAnsi="Times New Roman"/>
          <w:sz w:val="20"/>
        </w:rPr>
      </w:pPr>
      <w:r>
        <w:rPr>
          <w:rFonts w:ascii="Times New Roman" w:hAnsi="Times New Roman"/>
          <w:sz w:val="20"/>
        </w:rPr>
        <w:t xml:space="preserve">Except in the limited circumstances provided for in the Indenture, the Company may not redeem the Notes prior to November 20, 2028. The Notes shall be redeemable at the Company’s option on or after November 20, 2028 in accordance with the terms and subject to the conditions specified in the Indenture. No sinking fund is provided for the Notes.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of a Fundamental Change (other than an Exempted Fundamental Change), the Holder has the right, at such Holder’s option, to require the Company to repurchase for cash all of such Holder’s Notes or any portion thereof (in principal amounts of $1,000 or integral multiples thereof) on the Fundamental Change Repurchase Date at a repurchase price equal to the Fundamental Change Repurchase Price.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 Indenture, the Holder hereof has the right, at its option, during certain periods and upon the occurrence of certain circumstances specified in the Indenture, prior to the close of business on the Scheduled Trading Day immediately preceding the Maturity Date, to convert any Notes or portion thereof that is $1,000 or an integral multiple thereof, into cash, shares of Common Stock or a combination of cash and shares of Common Stock, as applicable, at the Conversion Rate specified in the Indenture, as adjusted from time to time as provided in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ABBREVIATIONS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abbreviations, when used in the inscription of the face of this Note, shall be construed as though they were written out in full according to applicable laws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TEN COM = as tenants in common  </w:t>
      </w:r>
    </w:p>
    <w:p>
      <w:pPr>
        <w:pStyle w:val="TextBody"/>
        <w:bidi w:val="0"/>
        <w:spacing w:before="240" w:after="0"/>
        <w:jc w:val="left"/>
        <w:rPr>
          <w:rFonts w:ascii="Times New Roman" w:hAnsi="Times New Roman"/>
          <w:sz w:val="20"/>
        </w:rPr>
      </w:pPr>
      <w:r>
        <w:rPr>
          <w:rFonts w:ascii="Times New Roman" w:hAnsi="Times New Roman"/>
          <w:sz w:val="20"/>
        </w:rPr>
        <w:t xml:space="preserve">UNIF GIFT MIN ACT =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CUST = Custodian </w:t>
      </w:r>
    </w:p>
    <w:p>
      <w:pPr>
        <w:pStyle w:val="TextBody"/>
        <w:bidi w:val="0"/>
        <w:spacing w:before="240" w:after="0"/>
        <w:jc w:val="left"/>
        <w:rPr>
          <w:rFonts w:ascii="Times New Roman" w:hAnsi="Times New Roman"/>
          <w:sz w:val="20"/>
        </w:rPr>
      </w:pPr>
      <w:r>
        <w:rPr>
          <w:rFonts w:ascii="Times New Roman" w:hAnsi="Times New Roman"/>
          <w:sz w:val="20"/>
        </w:rPr>
        <w:t xml:space="preserve">TEN ENT = as tenants by the entireties  </w:t>
      </w:r>
    </w:p>
    <w:p>
      <w:pPr>
        <w:pStyle w:val="TextBody"/>
        <w:bidi w:val="0"/>
        <w:spacing w:before="240" w:after="0"/>
        <w:jc w:val="left"/>
        <w:rPr>
          <w:rFonts w:ascii="Times New Roman" w:hAnsi="Times New Roman"/>
          <w:sz w:val="20"/>
        </w:rPr>
      </w:pPr>
      <w:r>
        <w:rPr>
          <w:rFonts w:ascii="Times New Roman" w:hAnsi="Times New Roman"/>
          <w:sz w:val="20"/>
        </w:rPr>
        <w:t xml:space="preserve">JT TEN = joint tenants with right of survivorship and not as tenants in common   </w:t>
      </w:r>
    </w:p>
    <w:p>
      <w:pPr>
        <w:pStyle w:val="TextBody"/>
        <w:bidi w:val="0"/>
        <w:spacing w:before="240" w:after="0"/>
        <w:jc w:val="left"/>
        <w:rPr>
          <w:rFonts w:ascii="Times New Roman" w:hAnsi="Times New Roman"/>
          <w:sz w:val="20"/>
        </w:rPr>
      </w:pPr>
      <w:r>
        <w:rPr>
          <w:rFonts w:ascii="Times New Roman" w:hAnsi="Times New Roman"/>
          <w:sz w:val="20"/>
        </w:rPr>
        <w:t xml:space="preserve">Additional abbreviations may also be used though not in the above list.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A </w:t>
      </w:r>
    </w:p>
    <w:p>
      <w:pPr>
        <w:pStyle w:val="TextBody"/>
        <w:bidi w:val="0"/>
        <w:spacing w:before="240" w:after="0"/>
        <w:jc w:val="center"/>
        <w:rPr>
          <w:rFonts w:ascii="Times New Roman" w:hAnsi="Times New Roman"/>
          <w:sz w:val="20"/>
        </w:rPr>
      </w:pPr>
      <w:r>
        <w:rPr>
          <w:rFonts w:ascii="Times New Roman" w:hAnsi="Times New Roman"/>
          <w:sz w:val="20"/>
        </w:rPr>
        <w:t xml:space="preserve">SCHEDULE OF EXCHANGES OF NOTES </w:t>
      </w:r>
    </w:p>
    <w:p>
      <w:pPr>
        <w:pStyle w:val="TextBody"/>
        <w:bidi w:val="0"/>
        <w:spacing w:before="240" w:after="0"/>
        <w:jc w:val="center"/>
        <w:rPr>
          <w:rFonts w:ascii="Times New Roman" w:hAnsi="Times New Roman"/>
          <w:sz w:val="20"/>
        </w:rPr>
      </w:pPr>
      <w:r>
        <w:rPr>
          <w:rFonts w:ascii="Times New Roman" w:hAnsi="Times New Roman"/>
          <w:sz w:val="20"/>
        </w:rPr>
        <w:t xml:space="preserve">AEVA Technologies, Inc. </w:t>
      </w:r>
    </w:p>
    <w:p>
      <w:pPr>
        <w:pStyle w:val="TextBody"/>
        <w:bidi w:val="0"/>
        <w:spacing w:before="240" w:after="0"/>
        <w:jc w:val="center"/>
        <w:rPr>
          <w:rFonts w:ascii="Times New Roman" w:hAnsi="Times New Roman"/>
          <w:sz w:val="20"/>
        </w:rPr>
      </w:pPr>
      <w:r>
        <w:rPr>
          <w:rFonts w:ascii="Times New Roman" w:hAnsi="Times New Roman"/>
          <w:sz w:val="20"/>
        </w:rPr>
        <w:t xml:space="preserve">4.375% Convertible Senior Notes due 2032 </w:t>
      </w:r>
    </w:p>
    <w:p>
      <w:pPr>
        <w:pStyle w:val="TextBody"/>
        <w:bidi w:val="0"/>
        <w:spacing w:before="240" w:after="0"/>
        <w:jc w:val="left"/>
        <w:rPr>
          <w:rFonts w:ascii="Times New Roman" w:hAnsi="Times New Roman"/>
          <w:sz w:val="20"/>
        </w:rPr>
      </w:pPr>
      <w:r>
        <w:rPr>
          <w:rFonts w:ascii="Times New Roman" w:hAnsi="Times New Roman"/>
          <w:sz w:val="20"/>
        </w:rPr>
        <w:t xml:space="preserve">The initial principal amount of this Global Note is ONE HUNDRED MILLION DOLLARS ($100,000,000). The following increases or decreases in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51"/>
        <w:gridCol w:w="120"/>
        <w:gridCol w:w="1935"/>
        <w:gridCol w:w="120"/>
        <w:gridCol w:w="1935"/>
        <w:gridCol w:w="295"/>
        <w:gridCol w:w="1430"/>
        <w:gridCol w:w="120"/>
        <w:gridCol w:w="1799"/>
      </w:tblGrid>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r>
      <w:tr>
        <w:trPr/>
        <w:tc>
          <w:tcPr>
            <w:tcW w:w="24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 of exchange</w:t>
            </w:r>
          </w:p>
        </w:tc>
        <w:tc>
          <w:tcPr>
            <w:tcW w:w="120" w:type="dxa"/>
            <w:tcBorders/>
            <w:vAlign w:val="bottom"/>
          </w:tcPr>
          <w:p>
            <w:pPr>
              <w:pStyle w:val="TableContents"/>
              <w:bidi w:val="0"/>
              <w:spacing w:before="0" w:after="283"/>
              <w:jc w:val="left"/>
              <w:rPr/>
            </w:pPr>
            <w:r>
              <w:rPr/>
              <w:t>  </w:t>
            </w:r>
          </w:p>
        </w:tc>
        <w:tc>
          <w:tcPr>
            <w:tcW w:w="193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w:t>
            </w:r>
          </w:p>
          <w:p>
            <w:pPr>
              <w:pStyle w:val="TableContents"/>
              <w:bidi w:val="0"/>
              <w:spacing w:before="0" w:after="0"/>
              <w:jc w:val="center"/>
              <w:rPr>
                <w:rFonts w:ascii="Times New Roman" w:hAnsi="Times New Roman"/>
                <w:b/>
                <w:sz w:val="16"/>
              </w:rPr>
            </w:pPr>
            <w:r>
              <w:rPr>
                <w:rFonts w:ascii="Times New Roman" w:hAnsi="Times New Roman"/>
                <w:b/>
                <w:sz w:val="16"/>
              </w:rPr>
              <w:t>decrease in</w:t>
            </w:r>
          </w:p>
          <w:p>
            <w:pPr>
              <w:pStyle w:val="TableContents"/>
              <w:bidi w:val="0"/>
              <w:spacing w:before="0" w:after="0"/>
              <w:jc w:val="center"/>
              <w:rPr>
                <w:rFonts w:ascii="Times New Roman" w:hAnsi="Times New Roman"/>
                <w:b/>
                <w:sz w:val="16"/>
              </w:rPr>
            </w:pPr>
            <w:r>
              <w:rPr>
                <w:rFonts w:ascii="Times New Roman" w:hAnsi="Times New Roman"/>
                <w:b/>
                <w:sz w:val="16"/>
              </w:rPr>
              <w:t>principal amount</w:t>
            </w:r>
          </w:p>
          <w:p>
            <w:pPr>
              <w:pStyle w:val="TableContents"/>
              <w:bidi w:val="0"/>
              <w:spacing w:before="0" w:after="20"/>
              <w:jc w:val="center"/>
              <w:rPr>
                <w:rFonts w:ascii="Times New Roman" w:hAnsi="Times New Roman"/>
                <w:b/>
                <w:sz w:val="16"/>
              </w:rPr>
            </w:pPr>
            <w:r>
              <w:rPr>
                <w:rFonts w:ascii="Times New Roman" w:hAnsi="Times New Roman"/>
                <w:b/>
                <w:sz w:val="16"/>
              </w:rPr>
              <w:t>of this Global Note</w:t>
            </w:r>
          </w:p>
        </w:tc>
        <w:tc>
          <w:tcPr>
            <w:tcW w:w="120" w:type="dxa"/>
            <w:tcBorders/>
            <w:vAlign w:val="bottom"/>
          </w:tcPr>
          <w:p>
            <w:pPr>
              <w:pStyle w:val="TableContents"/>
              <w:bidi w:val="0"/>
              <w:spacing w:before="0" w:after="283"/>
              <w:jc w:val="left"/>
              <w:rPr/>
            </w:pPr>
            <w:r>
              <w:rPr/>
              <w:t>  </w:t>
            </w:r>
          </w:p>
        </w:tc>
        <w:tc>
          <w:tcPr>
            <w:tcW w:w="193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 of</w:t>
            </w:r>
          </w:p>
          <w:p>
            <w:pPr>
              <w:pStyle w:val="TableContents"/>
              <w:bidi w:val="0"/>
              <w:spacing w:before="0" w:after="0"/>
              <w:jc w:val="center"/>
              <w:rPr>
                <w:rFonts w:ascii="Times New Roman" w:hAnsi="Times New Roman"/>
                <w:b/>
                <w:sz w:val="16"/>
              </w:rPr>
            </w:pPr>
            <w:r>
              <w:rPr>
                <w:rFonts w:ascii="Times New Roman" w:hAnsi="Times New Roman"/>
                <w:b/>
                <w:sz w:val="16"/>
              </w:rPr>
              <w:t>increase in</w:t>
            </w:r>
          </w:p>
          <w:p>
            <w:pPr>
              <w:pStyle w:val="TableContents"/>
              <w:bidi w:val="0"/>
              <w:spacing w:before="0" w:after="0"/>
              <w:jc w:val="center"/>
              <w:rPr>
                <w:rFonts w:ascii="Times New Roman" w:hAnsi="Times New Roman"/>
                <w:b/>
                <w:sz w:val="16"/>
              </w:rPr>
            </w:pPr>
            <w:r>
              <w:rPr>
                <w:rFonts w:ascii="Times New Roman" w:hAnsi="Times New Roman"/>
                <w:b/>
                <w:sz w:val="16"/>
              </w:rPr>
              <w:t>principal amount</w:t>
            </w:r>
          </w:p>
          <w:p>
            <w:pPr>
              <w:pStyle w:val="TableContents"/>
              <w:bidi w:val="0"/>
              <w:spacing w:before="0" w:after="20"/>
              <w:jc w:val="center"/>
              <w:rPr>
                <w:rFonts w:ascii="Times New Roman" w:hAnsi="Times New Roman"/>
                <w:b/>
                <w:sz w:val="16"/>
              </w:rPr>
            </w:pPr>
            <w:r>
              <w:rPr>
                <w:rFonts w:ascii="Times New Roman" w:hAnsi="Times New Roman"/>
                <w:b/>
                <w:sz w:val="16"/>
              </w:rPr>
              <w:t>of this Global Note</w:t>
            </w:r>
          </w:p>
        </w:tc>
        <w:tc>
          <w:tcPr>
            <w:tcW w:w="295" w:type="dxa"/>
            <w:tcBorders/>
            <w:vAlign w:val="bottom"/>
          </w:tcPr>
          <w:p>
            <w:pPr>
              <w:pStyle w:val="TableContents"/>
              <w:bidi w:val="0"/>
              <w:spacing w:before="0" w:after="283"/>
              <w:jc w:val="left"/>
              <w:rPr/>
            </w:pPr>
            <w:r>
              <w:rPr/>
              <w:t>  </w:t>
            </w:r>
          </w:p>
        </w:tc>
        <w:tc>
          <w:tcPr>
            <w:tcW w:w="14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amount</w:t>
              <w:br/>
              <w:t>of this Global Note</w:t>
              <w:br/>
              <w:t>following such</w:t>
              <w:br/>
              <w:t>decrease or</w:t>
              <w:br/>
              <w:t>increase</w:t>
            </w:r>
          </w:p>
        </w:tc>
        <w:tc>
          <w:tcPr>
            <w:tcW w:w="120" w:type="dxa"/>
            <w:tcBorders/>
            <w:vAlign w:val="bottom"/>
          </w:tcPr>
          <w:p>
            <w:pPr>
              <w:pStyle w:val="TableContents"/>
              <w:bidi w:val="0"/>
              <w:spacing w:before="0" w:after="283"/>
              <w:jc w:val="left"/>
              <w:rPr/>
            </w:pPr>
            <w:r>
              <w:rPr/>
              <w:t>  </w:t>
            </w:r>
          </w:p>
        </w:tc>
        <w:tc>
          <w:tcPr>
            <w:tcW w:w="179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Signature of</w:t>
            </w:r>
          </w:p>
          <w:p>
            <w:pPr>
              <w:pStyle w:val="TableContents"/>
              <w:bidi w:val="0"/>
              <w:spacing w:before="0" w:after="0"/>
              <w:jc w:val="center"/>
              <w:rPr>
                <w:rFonts w:ascii="Times New Roman" w:hAnsi="Times New Roman"/>
                <w:b/>
                <w:sz w:val="16"/>
              </w:rPr>
            </w:pPr>
            <w:r>
              <w:rPr>
                <w:rFonts w:ascii="Times New Roman" w:hAnsi="Times New Roman"/>
                <w:b/>
                <w:sz w:val="16"/>
              </w:rPr>
              <w:t>authorized</w:t>
            </w:r>
          </w:p>
          <w:p>
            <w:pPr>
              <w:pStyle w:val="TableContents"/>
              <w:bidi w:val="0"/>
              <w:spacing w:before="0" w:after="0"/>
              <w:jc w:val="center"/>
              <w:rPr>
                <w:rFonts w:ascii="Times New Roman" w:hAnsi="Times New Roman"/>
                <w:b/>
                <w:sz w:val="16"/>
              </w:rPr>
            </w:pPr>
            <w:r>
              <w:rPr>
                <w:rFonts w:ascii="Times New Roman" w:hAnsi="Times New Roman"/>
                <w:b/>
                <w:sz w:val="16"/>
              </w:rPr>
              <w:t>signatory of</w:t>
            </w:r>
          </w:p>
          <w:p>
            <w:pPr>
              <w:pStyle w:val="TableContents"/>
              <w:bidi w:val="0"/>
              <w:spacing w:before="0" w:after="0"/>
              <w:jc w:val="center"/>
              <w:rPr>
                <w:rFonts w:ascii="Times New Roman" w:hAnsi="Times New Roman"/>
                <w:b/>
                <w:sz w:val="16"/>
              </w:rPr>
            </w:pPr>
            <w:r>
              <w:rPr>
                <w:rFonts w:ascii="Times New Roman" w:hAnsi="Times New Roman"/>
                <w:b/>
                <w:sz w:val="16"/>
              </w:rPr>
              <w:t>Trustee or</w:t>
            </w:r>
          </w:p>
          <w:p>
            <w:pPr>
              <w:pStyle w:val="TableContents"/>
              <w:bidi w:val="0"/>
              <w:spacing w:before="0" w:after="20"/>
              <w:jc w:val="center"/>
              <w:rPr>
                <w:rFonts w:ascii="Times New Roman" w:hAnsi="Times New Roman"/>
                <w:b/>
                <w:sz w:val="16"/>
              </w:rPr>
            </w:pPr>
            <w:r>
              <w:rPr>
                <w:rFonts w:ascii="Times New Roman" w:hAnsi="Times New Roman"/>
                <w:b/>
                <w:sz w:val="16"/>
              </w:rPr>
              <w:t>Custodian</w:t>
            </w:r>
          </w:p>
        </w:tc>
      </w:tr>
      <w:tr>
        <w:trPr/>
        <w:tc>
          <w:tcPr>
            <w:tcW w:w="2451"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3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35" w:type="dxa"/>
            <w:tcBorders/>
            <w:vAlign w:val="bottom"/>
          </w:tcPr>
          <w:p>
            <w:pPr>
              <w:pStyle w:val="TableContents"/>
              <w:pBdr>
                <w:bottom w:val="single" w:sz="8" w:space="1" w:color="000000"/>
              </w:pBdr>
              <w:bidi w:val="0"/>
              <w:spacing w:before="0" w:after="0"/>
              <w:jc w:val="left"/>
              <w:rPr/>
            </w:pPr>
            <w:r>
              <w:rPr/>
              <w:t> </w:t>
            </w:r>
          </w:p>
        </w:tc>
        <w:tc>
          <w:tcPr>
            <w:tcW w:w="295"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799" w:type="dxa"/>
            <w:tcBorders/>
            <w:vAlign w:val="bottom"/>
          </w:tcPr>
          <w:p>
            <w:pPr>
              <w:pStyle w:val="TableContents"/>
              <w:pBdr>
                <w:bottom w:val="single" w:sz="8" w:space="1" w:color="000000"/>
              </w:pBdr>
              <w:bidi w:val="0"/>
              <w:spacing w:before="0" w:after="0"/>
              <w:jc w:val="left"/>
              <w:rPr/>
            </w:pPr>
            <w:r>
              <w:rPr/>
              <w:t> </w:t>
            </w:r>
          </w:p>
        </w:tc>
      </w:tr>
      <w:tr>
        <w:trPr/>
        <w:tc>
          <w:tcPr>
            <w:tcW w:w="2451"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3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35" w:type="dxa"/>
            <w:tcBorders/>
            <w:vAlign w:val="bottom"/>
          </w:tcPr>
          <w:p>
            <w:pPr>
              <w:pStyle w:val="TableContents"/>
              <w:pBdr>
                <w:bottom w:val="single" w:sz="8" w:space="1" w:color="000000"/>
              </w:pBdr>
              <w:bidi w:val="0"/>
              <w:spacing w:before="0" w:after="0"/>
              <w:jc w:val="left"/>
              <w:rPr/>
            </w:pPr>
            <w:r>
              <w:rPr/>
              <w:t> </w:t>
            </w:r>
          </w:p>
        </w:tc>
        <w:tc>
          <w:tcPr>
            <w:tcW w:w="295"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799" w:type="dxa"/>
            <w:tcBorders/>
            <w:vAlign w:val="bottom"/>
          </w:tcPr>
          <w:p>
            <w:pPr>
              <w:pStyle w:val="TableContents"/>
              <w:pBdr>
                <w:bottom w:val="single" w:sz="8" w:space="1" w:color="000000"/>
              </w:pBdr>
              <w:bidi w:val="0"/>
              <w:spacing w:before="0" w:after="0"/>
              <w:jc w:val="left"/>
              <w:rPr/>
            </w:pPr>
            <w:r>
              <w:rPr/>
              <w:t> </w:t>
            </w:r>
          </w:p>
        </w:tc>
      </w:tr>
      <w:tr>
        <w:trPr/>
        <w:tc>
          <w:tcPr>
            <w:tcW w:w="2451"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3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35" w:type="dxa"/>
            <w:tcBorders/>
            <w:vAlign w:val="bottom"/>
          </w:tcPr>
          <w:p>
            <w:pPr>
              <w:pStyle w:val="TableContents"/>
              <w:pBdr>
                <w:bottom w:val="single" w:sz="8" w:space="1" w:color="000000"/>
              </w:pBdr>
              <w:bidi w:val="0"/>
              <w:spacing w:before="0" w:after="0"/>
              <w:jc w:val="left"/>
              <w:rPr/>
            </w:pPr>
            <w:r>
              <w:rPr/>
              <w:t> </w:t>
            </w:r>
          </w:p>
        </w:tc>
        <w:tc>
          <w:tcPr>
            <w:tcW w:w="295"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799" w:type="dxa"/>
            <w:tcBorders/>
            <w:vAlign w:val="bottom"/>
          </w:tcPr>
          <w:p>
            <w:pPr>
              <w:pStyle w:val="TableContents"/>
              <w:pBdr>
                <w:bottom w:val="single" w:sz="8" w:space="1" w:color="000000"/>
              </w:pBdr>
              <w:bidi w:val="0"/>
              <w:spacing w:before="0" w:after="0"/>
              <w:jc w:val="left"/>
              <w:rPr/>
            </w:pPr>
            <w:r>
              <w:rPr/>
              <w:t> </w:t>
            </w:r>
          </w:p>
        </w:tc>
      </w:tr>
      <w:tr>
        <w:trPr/>
        <w:tc>
          <w:tcPr>
            <w:tcW w:w="2451"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3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35" w:type="dxa"/>
            <w:tcBorders/>
            <w:vAlign w:val="bottom"/>
          </w:tcPr>
          <w:p>
            <w:pPr>
              <w:pStyle w:val="TableContents"/>
              <w:pBdr>
                <w:bottom w:val="single" w:sz="8" w:space="1" w:color="000000"/>
              </w:pBdr>
              <w:bidi w:val="0"/>
              <w:spacing w:before="0" w:after="0"/>
              <w:jc w:val="left"/>
              <w:rPr/>
            </w:pPr>
            <w:r>
              <w:rPr/>
              <w:t> </w:t>
            </w:r>
          </w:p>
        </w:tc>
        <w:tc>
          <w:tcPr>
            <w:tcW w:w="295"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799" w:type="dxa"/>
            <w:tcBorders/>
            <w:vAlign w:val="bottom"/>
          </w:tcPr>
          <w:p>
            <w:pPr>
              <w:pStyle w:val="TableContents"/>
              <w:pBdr>
                <w:bottom w:val="single" w:sz="8" w:space="1" w:color="000000"/>
              </w:pBdr>
              <w:bidi w:val="0"/>
              <w:spacing w:before="0" w:after="0"/>
              <w:jc w:val="left"/>
              <w:rPr/>
            </w:pPr>
            <w:r>
              <w:rPr/>
              <w:t> </w:t>
            </w:r>
          </w:p>
        </w:tc>
      </w:tr>
      <w:tr>
        <w:trPr/>
        <w:tc>
          <w:tcPr>
            <w:tcW w:w="2451"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3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35" w:type="dxa"/>
            <w:tcBorders/>
            <w:vAlign w:val="bottom"/>
          </w:tcPr>
          <w:p>
            <w:pPr>
              <w:pStyle w:val="TableContents"/>
              <w:pBdr>
                <w:bottom w:val="single" w:sz="8" w:space="1" w:color="000000"/>
              </w:pBdr>
              <w:bidi w:val="0"/>
              <w:spacing w:before="0" w:after="0"/>
              <w:jc w:val="left"/>
              <w:rPr/>
            </w:pPr>
            <w:r>
              <w:rPr/>
              <w:t> </w:t>
            </w:r>
          </w:p>
        </w:tc>
        <w:tc>
          <w:tcPr>
            <w:tcW w:w="295"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799" w:type="dxa"/>
            <w:tcBorders/>
            <w:vAlign w:val="bottom"/>
          </w:tcPr>
          <w:p>
            <w:pPr>
              <w:pStyle w:val="TableContents"/>
              <w:pBdr>
                <w:bottom w:val="single" w:sz="8" w:space="1" w:color="000000"/>
              </w:pBdr>
              <w:bidi w:val="0"/>
              <w:spacing w:before="0" w:after="0"/>
              <w:jc w:val="left"/>
              <w:rPr/>
            </w:pPr>
            <w:r>
              <w:rPr/>
              <w:t> </w:t>
            </w:r>
          </w:p>
        </w:tc>
      </w:tr>
      <w:tr>
        <w:trPr/>
        <w:tc>
          <w:tcPr>
            <w:tcW w:w="2451"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3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35" w:type="dxa"/>
            <w:tcBorders/>
            <w:vAlign w:val="bottom"/>
          </w:tcPr>
          <w:p>
            <w:pPr>
              <w:pStyle w:val="TableContents"/>
              <w:pBdr>
                <w:bottom w:val="single" w:sz="8" w:space="1" w:color="000000"/>
              </w:pBdr>
              <w:bidi w:val="0"/>
              <w:spacing w:before="0" w:after="0"/>
              <w:jc w:val="left"/>
              <w:rPr/>
            </w:pPr>
            <w:r>
              <w:rPr/>
              <w:t> </w:t>
            </w:r>
          </w:p>
        </w:tc>
        <w:tc>
          <w:tcPr>
            <w:tcW w:w="295"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799" w:type="dxa"/>
            <w:tcBorders/>
            <w:vAlign w:val="bottom"/>
          </w:tcPr>
          <w:p>
            <w:pPr>
              <w:pStyle w:val="TableContents"/>
              <w:pBdr>
                <w:bottom w:val="single" w:sz="8" w:space="1" w:color="000000"/>
              </w:pBdr>
              <w:bidi w:val="0"/>
              <w:spacing w:before="0" w:after="0"/>
              <w:jc w:val="left"/>
              <w:rPr/>
            </w:pPr>
            <w:r>
              <w:rPr/>
              <w:t> </w:t>
            </w:r>
          </w:p>
        </w:tc>
      </w:tr>
      <w:tr>
        <w:trPr/>
        <w:tc>
          <w:tcPr>
            <w:tcW w:w="2451"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3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35" w:type="dxa"/>
            <w:tcBorders/>
            <w:vAlign w:val="bottom"/>
          </w:tcPr>
          <w:p>
            <w:pPr>
              <w:pStyle w:val="TableContents"/>
              <w:pBdr>
                <w:bottom w:val="single" w:sz="8" w:space="1" w:color="000000"/>
              </w:pBdr>
              <w:bidi w:val="0"/>
              <w:spacing w:before="0" w:after="0"/>
              <w:jc w:val="left"/>
              <w:rPr/>
            </w:pPr>
            <w:r>
              <w:rPr/>
              <w:t> </w:t>
            </w:r>
          </w:p>
        </w:tc>
        <w:tc>
          <w:tcPr>
            <w:tcW w:w="295"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799" w:type="dxa"/>
            <w:tcBorders/>
            <w:vAlign w:val="bottom"/>
          </w:tcPr>
          <w:p>
            <w:pPr>
              <w:pStyle w:val="TableContents"/>
              <w:pBdr>
                <w:bottom w:val="single" w:sz="8" w:space="1" w:color="000000"/>
              </w:pBdr>
              <w:bidi w:val="0"/>
              <w:spacing w:before="0" w:after="0"/>
              <w:jc w:val="left"/>
              <w:rPr/>
            </w:pPr>
            <w:r>
              <w:rPr/>
              <w:t> </w:t>
            </w:r>
          </w:p>
        </w:tc>
      </w:tr>
      <w:tr>
        <w:trPr/>
        <w:tc>
          <w:tcPr>
            <w:tcW w:w="2451"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3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35" w:type="dxa"/>
            <w:tcBorders/>
            <w:vAlign w:val="bottom"/>
          </w:tcPr>
          <w:p>
            <w:pPr>
              <w:pStyle w:val="TableContents"/>
              <w:pBdr>
                <w:bottom w:val="single" w:sz="8" w:space="1" w:color="000000"/>
              </w:pBdr>
              <w:bidi w:val="0"/>
              <w:spacing w:before="0" w:after="0"/>
              <w:jc w:val="left"/>
              <w:rPr/>
            </w:pPr>
            <w:r>
              <w:rPr/>
              <w:t> </w:t>
            </w:r>
          </w:p>
        </w:tc>
        <w:tc>
          <w:tcPr>
            <w:tcW w:w="295"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799" w:type="dxa"/>
            <w:tcBorders/>
            <w:vAlign w:val="bottom"/>
          </w:tcPr>
          <w:p>
            <w:pPr>
              <w:pStyle w:val="TableContents"/>
              <w:pBdr>
                <w:bottom w:val="single" w:sz="8" w:space="1" w:color="000000"/>
              </w:pBdr>
              <w:bidi w:val="0"/>
              <w:spacing w:before="0" w:after="0"/>
              <w:jc w:val="left"/>
              <w:rPr/>
            </w:pPr>
            <w:r>
              <w:rPr/>
              <w:t> </w:t>
            </w:r>
          </w:p>
        </w:tc>
      </w:tr>
      <w:tr>
        <w:trPr/>
        <w:tc>
          <w:tcPr>
            <w:tcW w:w="2451"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3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35" w:type="dxa"/>
            <w:tcBorders/>
            <w:vAlign w:val="bottom"/>
          </w:tcPr>
          <w:p>
            <w:pPr>
              <w:pStyle w:val="TableContents"/>
              <w:pBdr>
                <w:bottom w:val="single" w:sz="8" w:space="1" w:color="000000"/>
              </w:pBdr>
              <w:bidi w:val="0"/>
              <w:spacing w:before="0" w:after="0"/>
              <w:jc w:val="left"/>
              <w:rPr/>
            </w:pPr>
            <w:r>
              <w:rPr/>
              <w:t> </w:t>
            </w:r>
          </w:p>
        </w:tc>
        <w:tc>
          <w:tcPr>
            <w:tcW w:w="295"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799" w:type="dxa"/>
            <w:tcBorders/>
            <w:vAlign w:val="bottom"/>
          </w:tcPr>
          <w:p>
            <w:pPr>
              <w:pStyle w:val="TableContents"/>
              <w:pBdr>
                <w:bottom w:val="single" w:sz="8" w:space="1" w:color="000000"/>
              </w:pBdr>
              <w:bidi w:val="0"/>
              <w:spacing w:before="0" w:after="0"/>
              <w:jc w:val="left"/>
              <w:rPr/>
            </w:pPr>
            <w:r>
              <w:rPr/>
              <w:t> </w:t>
            </w:r>
          </w:p>
        </w:tc>
      </w:tr>
      <w:tr>
        <w:trPr/>
        <w:tc>
          <w:tcPr>
            <w:tcW w:w="2451"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3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35" w:type="dxa"/>
            <w:tcBorders/>
            <w:vAlign w:val="bottom"/>
          </w:tcPr>
          <w:p>
            <w:pPr>
              <w:pStyle w:val="TableContents"/>
              <w:pBdr>
                <w:bottom w:val="single" w:sz="8" w:space="1" w:color="000000"/>
              </w:pBdr>
              <w:bidi w:val="0"/>
              <w:spacing w:before="0" w:after="0"/>
              <w:jc w:val="left"/>
              <w:rPr/>
            </w:pPr>
            <w:r>
              <w:rPr/>
              <w:t> </w:t>
            </w:r>
          </w:p>
        </w:tc>
        <w:tc>
          <w:tcPr>
            <w:tcW w:w="295"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799" w:type="dxa"/>
            <w:tcBorders/>
            <w:vAlign w:val="bottom"/>
          </w:tcPr>
          <w:p>
            <w:pPr>
              <w:pStyle w:val="TableContents"/>
              <w:pBdr>
                <w:bottom w:val="single" w:sz="8" w:space="1" w:color="000000"/>
              </w:pBdr>
              <w:bidi w:val="0"/>
              <w:spacing w:before="0" w:after="0"/>
              <w:jc w:val="left"/>
              <w:rPr/>
            </w:pPr>
            <w:r>
              <w:rPr/>
              <w:t> </w:t>
            </w:r>
          </w:p>
        </w:tc>
      </w:tr>
      <w:tr>
        <w:trPr/>
        <w:tc>
          <w:tcPr>
            <w:tcW w:w="2451"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3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35" w:type="dxa"/>
            <w:tcBorders/>
            <w:vAlign w:val="bottom"/>
          </w:tcPr>
          <w:p>
            <w:pPr>
              <w:pStyle w:val="TableContents"/>
              <w:pBdr>
                <w:bottom w:val="single" w:sz="8" w:space="1" w:color="000000"/>
              </w:pBdr>
              <w:bidi w:val="0"/>
              <w:spacing w:before="0" w:after="0"/>
              <w:jc w:val="left"/>
              <w:rPr/>
            </w:pPr>
            <w:r>
              <w:rPr/>
              <w:t> </w:t>
            </w:r>
          </w:p>
        </w:tc>
        <w:tc>
          <w:tcPr>
            <w:tcW w:w="295"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799" w:type="dxa"/>
            <w:tcBorders/>
            <w:vAlign w:val="bottom"/>
          </w:tcPr>
          <w:p>
            <w:pPr>
              <w:pStyle w:val="TableContents"/>
              <w:pBdr>
                <w:bottom w:val="single" w:sz="8" w:space="1" w:color="000000"/>
              </w:pBdr>
              <w:bidi w:val="0"/>
              <w:spacing w:before="0" w:after="0"/>
              <w:jc w:val="left"/>
              <w:rPr/>
            </w:pPr>
            <w:r>
              <w:rPr/>
              <w:t> </w:t>
            </w:r>
          </w:p>
        </w:tc>
      </w:tr>
      <w:tr>
        <w:trPr/>
        <w:tc>
          <w:tcPr>
            <w:tcW w:w="2451"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35"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935" w:type="dxa"/>
            <w:tcBorders/>
            <w:vAlign w:val="bottom"/>
          </w:tcPr>
          <w:p>
            <w:pPr>
              <w:pStyle w:val="TableContents"/>
              <w:pBdr>
                <w:bottom w:val="single" w:sz="8" w:space="1" w:color="000000"/>
              </w:pBdr>
              <w:bidi w:val="0"/>
              <w:spacing w:before="0" w:after="0"/>
              <w:jc w:val="left"/>
              <w:rPr/>
            </w:pPr>
            <w:r>
              <w:rPr/>
              <w:t> </w:t>
            </w:r>
          </w:p>
        </w:tc>
        <w:tc>
          <w:tcPr>
            <w:tcW w:w="295" w:type="dxa"/>
            <w:tcBorders/>
            <w:vAlign w:val="bottom"/>
          </w:tcPr>
          <w:p>
            <w:pPr>
              <w:pStyle w:val="TableContents"/>
              <w:bidi w:val="0"/>
              <w:spacing w:before="0" w:after="283"/>
              <w:jc w:val="left"/>
              <w:rPr/>
            </w:pPr>
            <w:r>
              <w:rPr/>
              <w:t>  </w:t>
            </w:r>
          </w:p>
        </w:tc>
        <w:tc>
          <w:tcPr>
            <w:tcW w:w="1430" w:type="dxa"/>
            <w:tcBorders/>
            <w:vAlign w:val="bottom"/>
          </w:tcPr>
          <w:p>
            <w:pPr>
              <w:pStyle w:val="TableContents"/>
              <w:pBdr>
                <w:bottom w:val="single" w:sz="8"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799" w:type="dxa"/>
            <w:tcBorders/>
            <w:vAlign w:val="bottom"/>
          </w:tcPr>
          <w:p>
            <w:pPr>
              <w:pStyle w:val="TableContents"/>
              <w:pBdr>
                <w:bottom w:val="single" w:sz="8" w:space="1" w:color="000000"/>
              </w:pBdr>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ATTACHMENT 1 </w:t>
      </w:r>
    </w:p>
    <w:p>
      <w:pPr>
        <w:pStyle w:val="TextBody"/>
        <w:bidi w:val="0"/>
        <w:spacing w:before="240" w:after="0"/>
        <w:jc w:val="center"/>
        <w:rPr>
          <w:rFonts w:ascii="Times New Roman" w:hAnsi="Times New Roman"/>
          <w:sz w:val="20"/>
        </w:rPr>
      </w:pPr>
      <w:r>
        <w:rPr>
          <w:rFonts w:ascii="Times New Roman" w:hAnsi="Times New Roman"/>
          <w:sz w:val="20"/>
        </w:rPr>
        <w:t xml:space="preserve">[FORM OF NOTICE OF CONVERSION]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Bank Trust Company, National Association </w:t>
            </w:r>
          </w:p>
        </w:tc>
      </w:tr>
    </w:tbl>
    <w:p>
      <w:pPr>
        <w:pStyle w:val="TextBody"/>
        <w:bidi w:val="0"/>
        <w:spacing w:before="0" w:after="0"/>
        <w:jc w:val="left"/>
        <w:rPr>
          <w:rFonts w:ascii="Times New Roman" w:hAnsi="Times New Roman"/>
          <w:sz w:val="20"/>
        </w:rPr>
      </w:pPr>
      <w:r>
        <w:rPr>
          <w:rFonts w:ascii="Times New Roman" w:hAnsi="Times New Roman"/>
          <w:sz w:val="20"/>
        </w:rPr>
        <w:t xml:space="preserve">60 Livingston Ave, </w:t>
      </w:r>
    </w:p>
    <w:p>
      <w:pPr>
        <w:pStyle w:val="TextBody"/>
        <w:bidi w:val="0"/>
        <w:spacing w:before="0" w:after="0"/>
        <w:jc w:val="left"/>
        <w:rPr>
          <w:rFonts w:ascii="Times New Roman" w:hAnsi="Times New Roman"/>
          <w:sz w:val="20"/>
        </w:rPr>
      </w:pPr>
      <w:r>
        <w:rPr>
          <w:rFonts w:ascii="Times New Roman" w:hAnsi="Times New Roman"/>
          <w:sz w:val="20"/>
        </w:rPr>
        <w:t xml:space="preserve">Saint Paul, MN 55107 </w:t>
      </w:r>
    </w:p>
    <w:p>
      <w:pPr>
        <w:pStyle w:val="TextBody"/>
        <w:bidi w:val="0"/>
        <w:spacing w:before="0" w:after="0"/>
        <w:jc w:val="left"/>
        <w:rPr>
          <w:rFonts w:ascii="Times New Roman" w:hAnsi="Times New Roman"/>
          <w:sz w:val="20"/>
        </w:rPr>
      </w:pPr>
      <w:r>
        <w:rPr>
          <w:rFonts w:ascii="Times New Roman" w:hAnsi="Times New Roman"/>
          <w:sz w:val="20"/>
        </w:rPr>
        <w:t xml:space="preserve">Attention: AEVA Technologies, Inc.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registered owner of this Note hereby exercises the option to convert this Note, or the portion hereof (that is $1,000 principal amount or an integral multiple thereof) below designated, into cash, shares of Common Stock or a combination of cash and shares of Common Stock, as applicable,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any interest accompanies this Note. Capitalized terms used herein but not defined shall have the meanings ascribed to such terms in the Indenture.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97"/>
        <w:gridCol w:w="122"/>
        <w:gridCol w:w="6386"/>
      </w:tblGrid>
      <w:tr>
        <w:trPr/>
        <w:tc>
          <w:tcPr>
            <w:tcW w:w="369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386" w:type="dxa"/>
            <w:tcBorders/>
            <w:vAlign w:val="center"/>
          </w:tcPr>
          <w:p>
            <w:pPr>
              <w:pStyle w:val="TableContents"/>
              <w:bidi w:val="0"/>
              <w:spacing w:before="0" w:after="283"/>
              <w:jc w:val="left"/>
              <w:rPr>
                <w:sz w:val="4"/>
                <w:szCs w:val="4"/>
              </w:rPr>
            </w:pPr>
            <w:r>
              <w:rPr>
                <w:sz w:val="4"/>
                <w:szCs w:val="4"/>
              </w:rPr>
            </w:r>
          </w:p>
        </w:tc>
      </w:tr>
      <w:tr>
        <w:trPr/>
        <w:tc>
          <w:tcPr>
            <w:tcW w:w="3697" w:type="dxa"/>
            <w:tcBorders/>
          </w:tcPr>
          <w:p>
            <w:pPr>
              <w:pStyle w:val="TableContents"/>
              <w:bidi w:val="0"/>
              <w:spacing w:before="0" w:after="283"/>
              <w:jc w:val="left"/>
              <w:rPr/>
            </w:pPr>
            <w:r>
              <w:rPr/>
              <w:t>Dated:</w:t>
            </w:r>
            <w:r>
              <w:rPr>
                <w:u w:val="single"/>
              </w:rPr>
              <w:t>             </w:t>
            </w:r>
          </w:p>
        </w:tc>
        <w:tc>
          <w:tcPr>
            <w:tcW w:w="122" w:type="dxa"/>
            <w:tcBorders/>
            <w:vAlign w:val="bottom"/>
          </w:tcPr>
          <w:p>
            <w:pPr>
              <w:pStyle w:val="TableContents"/>
              <w:bidi w:val="0"/>
              <w:spacing w:before="0" w:after="283"/>
              <w:jc w:val="left"/>
              <w:rPr/>
            </w:pPr>
            <w:r>
              <w:rPr/>
              <w:t>  </w:t>
            </w:r>
          </w:p>
        </w:tc>
        <w:tc>
          <w:tcPr>
            <w:tcW w:w="6386" w:type="dxa"/>
            <w:tcBorders/>
          </w:tcPr>
          <w:p>
            <w:pPr>
              <w:pStyle w:val="TableContents"/>
              <w:bidi w:val="0"/>
              <w:spacing w:before="0" w:after="283"/>
              <w:jc w:val="left"/>
              <w:rPr>
                <w:u w:val="single"/>
              </w:rPr>
            </w:pPr>
            <w:r>
              <w:rPr>
                <w:u w:val="single"/>
              </w:rPr>
              <w:t>                 </w:t>
            </w:r>
          </w:p>
        </w:tc>
      </w:tr>
      <w:tr>
        <w:trPr>
          <w:trHeight w:val="120" w:hRule="atLeast"/>
        </w:trPr>
        <w:tc>
          <w:tcPr>
            <w:tcW w:w="3697" w:type="dxa"/>
            <w:tcBorders/>
            <w:vAlign w:val="center"/>
          </w:tcPr>
          <w:p>
            <w:pPr>
              <w:pStyle w:val="TableContents"/>
              <w:bidi w:val="0"/>
              <w:spacing w:before="0" w:after="283"/>
              <w:jc w:val="left"/>
              <w:rPr>
                <w:sz w:val="4"/>
                <w:szCs w:val="4"/>
              </w:rPr>
            </w:pPr>
            <w:r>
              <w:rPr>
                <w:sz w:val="4"/>
                <w:szCs w:val="4"/>
              </w:rPr>
            </w:r>
          </w:p>
        </w:tc>
        <w:tc>
          <w:tcPr>
            <w:tcW w:w="6508" w:type="dxa"/>
            <w:gridSpan w:val="2"/>
            <w:tcBorders/>
            <w:vAlign w:val="center"/>
          </w:tcPr>
          <w:p>
            <w:pPr>
              <w:pStyle w:val="TableContents"/>
              <w:bidi w:val="0"/>
              <w:spacing w:before="0" w:after="283"/>
              <w:jc w:val="left"/>
              <w:rPr>
                <w:sz w:val="4"/>
                <w:szCs w:val="4"/>
              </w:rPr>
            </w:pPr>
            <w:r>
              <w:rPr>
                <w:sz w:val="4"/>
                <w:szCs w:val="4"/>
              </w:rPr>
            </w:r>
          </w:p>
        </w:tc>
      </w:tr>
      <w:tr>
        <w:trPr/>
        <w:tc>
          <w:tcPr>
            <w:tcW w:w="369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386" w:type="dxa"/>
            <w:tcBorders/>
          </w:tcPr>
          <w:p>
            <w:pPr>
              <w:pStyle w:val="TableContents"/>
              <w:bidi w:val="0"/>
              <w:spacing w:before="0" w:after="283"/>
              <w:jc w:val="left"/>
              <w:rPr>
                <w:u w:val="single"/>
              </w:rPr>
            </w:pPr>
            <w:r>
              <w:rPr>
                <w:u w:val="single"/>
              </w:rPr>
              <w:t>                 </w:t>
            </w:r>
          </w:p>
        </w:tc>
      </w:tr>
      <w:tr>
        <w:trPr/>
        <w:tc>
          <w:tcPr>
            <w:tcW w:w="369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386" w:type="dxa"/>
            <w:tcBorders/>
          </w:tcPr>
          <w:p>
            <w:pPr>
              <w:pStyle w:val="TableContents"/>
              <w:bidi w:val="0"/>
              <w:spacing w:before="0" w:after="283"/>
              <w:jc w:val="left"/>
              <w:rPr/>
            </w:pPr>
            <w:r>
              <w:rPr/>
              <w:t>Signature(s)</w:t>
            </w:r>
          </w:p>
        </w:tc>
      </w:tr>
      <w:tr>
        <w:trPr>
          <w:trHeight w:val="120" w:hRule="atLeast"/>
        </w:trPr>
        <w:tc>
          <w:tcPr>
            <w:tcW w:w="3697" w:type="dxa"/>
            <w:tcBorders/>
            <w:vAlign w:val="center"/>
          </w:tcPr>
          <w:p>
            <w:pPr>
              <w:pStyle w:val="TableContents"/>
              <w:bidi w:val="0"/>
              <w:spacing w:before="0" w:after="283"/>
              <w:jc w:val="left"/>
              <w:rPr>
                <w:sz w:val="4"/>
                <w:szCs w:val="4"/>
              </w:rPr>
            </w:pPr>
            <w:r>
              <w:rPr>
                <w:sz w:val="4"/>
                <w:szCs w:val="4"/>
              </w:rPr>
            </w:r>
          </w:p>
        </w:tc>
        <w:tc>
          <w:tcPr>
            <w:tcW w:w="6508" w:type="dxa"/>
            <w:gridSpan w:val="2"/>
            <w:tcBorders/>
            <w:vAlign w:val="center"/>
          </w:tcPr>
          <w:p>
            <w:pPr>
              <w:pStyle w:val="TableContents"/>
              <w:bidi w:val="0"/>
              <w:spacing w:before="0" w:after="283"/>
              <w:jc w:val="left"/>
              <w:rPr>
                <w:sz w:val="4"/>
                <w:szCs w:val="4"/>
              </w:rPr>
            </w:pPr>
            <w:r>
              <w:rPr>
                <w:sz w:val="4"/>
                <w:szCs w:val="4"/>
              </w:rPr>
            </w:r>
          </w:p>
        </w:tc>
      </w:tr>
      <w:tr>
        <w:trPr/>
        <w:tc>
          <w:tcPr>
            <w:tcW w:w="3697" w:type="dxa"/>
            <w:tcBorders/>
          </w:tcPr>
          <w:p>
            <w:pPr>
              <w:pStyle w:val="TableContents"/>
              <w:bidi w:val="0"/>
              <w:spacing w:before="0" w:after="283"/>
              <w:jc w:val="left"/>
              <w:rPr>
                <w:u w:val="single"/>
              </w:rPr>
            </w:pPr>
            <w:r>
              <w:rPr>
                <w:u w:val="single"/>
              </w:rPr>
              <w:t>                </w:t>
            </w:r>
          </w:p>
        </w:tc>
        <w:tc>
          <w:tcPr>
            <w:tcW w:w="122" w:type="dxa"/>
            <w:tcBorders/>
            <w:vAlign w:val="bottom"/>
          </w:tcPr>
          <w:p>
            <w:pPr>
              <w:pStyle w:val="TableContents"/>
              <w:bidi w:val="0"/>
              <w:spacing w:before="0" w:after="283"/>
              <w:jc w:val="left"/>
              <w:rPr/>
            </w:pPr>
            <w:r>
              <w:rPr/>
              <w:t>  </w:t>
            </w:r>
          </w:p>
        </w:tc>
        <w:tc>
          <w:tcPr>
            <w:tcW w:w="6386" w:type="dxa"/>
            <w:tcBorders/>
          </w:tcPr>
          <w:p>
            <w:pPr>
              <w:pStyle w:val="TableContents"/>
              <w:bidi w:val="0"/>
              <w:spacing w:before="0" w:after="283"/>
              <w:jc w:val="left"/>
              <w:rPr>
                <w:sz w:val="4"/>
                <w:szCs w:val="4"/>
              </w:rPr>
            </w:pPr>
            <w:r>
              <w:rPr>
                <w:sz w:val="4"/>
                <w:szCs w:val="4"/>
              </w:rPr>
            </w:r>
          </w:p>
        </w:tc>
      </w:tr>
      <w:tr>
        <w:trPr>
          <w:trHeight w:val="120" w:hRule="atLeast"/>
        </w:trPr>
        <w:tc>
          <w:tcPr>
            <w:tcW w:w="3697" w:type="dxa"/>
            <w:tcBorders/>
            <w:vAlign w:val="center"/>
          </w:tcPr>
          <w:p>
            <w:pPr>
              <w:pStyle w:val="TableContents"/>
              <w:bidi w:val="0"/>
              <w:spacing w:before="0" w:after="283"/>
              <w:jc w:val="left"/>
              <w:rPr>
                <w:sz w:val="4"/>
                <w:szCs w:val="4"/>
              </w:rPr>
            </w:pPr>
            <w:r>
              <w:rPr>
                <w:sz w:val="4"/>
                <w:szCs w:val="4"/>
              </w:rPr>
            </w:r>
          </w:p>
        </w:tc>
        <w:tc>
          <w:tcPr>
            <w:tcW w:w="6508" w:type="dxa"/>
            <w:gridSpan w:val="2"/>
            <w:tcBorders/>
            <w:vAlign w:val="center"/>
          </w:tcPr>
          <w:p>
            <w:pPr>
              <w:pStyle w:val="TableContents"/>
              <w:bidi w:val="0"/>
              <w:spacing w:before="0" w:after="283"/>
              <w:jc w:val="left"/>
              <w:rPr>
                <w:sz w:val="4"/>
                <w:szCs w:val="4"/>
              </w:rPr>
            </w:pPr>
            <w:r>
              <w:rPr>
                <w:sz w:val="4"/>
                <w:szCs w:val="4"/>
              </w:rPr>
            </w:r>
          </w:p>
        </w:tc>
      </w:tr>
      <w:tr>
        <w:trPr/>
        <w:tc>
          <w:tcPr>
            <w:tcW w:w="3697" w:type="dxa"/>
            <w:tcBorders/>
          </w:tcPr>
          <w:p>
            <w:pPr>
              <w:pStyle w:val="TableContents"/>
              <w:bidi w:val="0"/>
              <w:spacing w:before="0" w:after="283"/>
              <w:jc w:val="left"/>
              <w:rPr/>
            </w:pPr>
            <w:r>
              <w:rPr/>
              <w:t>Signature Guarantee</w:t>
            </w:r>
          </w:p>
        </w:tc>
        <w:tc>
          <w:tcPr>
            <w:tcW w:w="122" w:type="dxa"/>
            <w:tcBorders/>
            <w:vAlign w:val="bottom"/>
          </w:tcPr>
          <w:p>
            <w:pPr>
              <w:pStyle w:val="TableContents"/>
              <w:bidi w:val="0"/>
              <w:spacing w:before="0" w:after="283"/>
              <w:jc w:val="left"/>
              <w:rPr/>
            </w:pPr>
            <w:r>
              <w:rPr/>
              <w:t>  </w:t>
            </w:r>
          </w:p>
        </w:tc>
        <w:tc>
          <w:tcPr>
            <w:tcW w:w="6386" w:type="dxa"/>
            <w:tcBorders/>
          </w:tcPr>
          <w:p>
            <w:pPr>
              <w:pStyle w:val="TableContents"/>
              <w:bidi w:val="0"/>
              <w:spacing w:before="0" w:after="283"/>
              <w:jc w:val="left"/>
              <w:rPr>
                <w:sz w:val="4"/>
                <w:szCs w:val="4"/>
              </w:rPr>
            </w:pPr>
            <w:r>
              <w:rPr>
                <w:sz w:val="4"/>
                <w:szCs w:val="4"/>
              </w:rPr>
            </w:r>
          </w:p>
        </w:tc>
      </w:tr>
      <w:tr>
        <w:trPr>
          <w:trHeight w:val="120" w:hRule="atLeast"/>
        </w:trPr>
        <w:tc>
          <w:tcPr>
            <w:tcW w:w="3697" w:type="dxa"/>
            <w:tcBorders/>
            <w:vAlign w:val="center"/>
          </w:tcPr>
          <w:p>
            <w:pPr>
              <w:pStyle w:val="TableContents"/>
              <w:bidi w:val="0"/>
              <w:spacing w:before="0" w:after="283"/>
              <w:jc w:val="left"/>
              <w:rPr>
                <w:sz w:val="4"/>
                <w:szCs w:val="4"/>
              </w:rPr>
            </w:pPr>
            <w:r>
              <w:rPr>
                <w:sz w:val="4"/>
                <w:szCs w:val="4"/>
              </w:rPr>
            </w:r>
          </w:p>
        </w:tc>
        <w:tc>
          <w:tcPr>
            <w:tcW w:w="6508" w:type="dxa"/>
            <w:gridSpan w:val="2"/>
            <w:tcBorders/>
            <w:vAlign w:val="center"/>
          </w:tcPr>
          <w:p>
            <w:pPr>
              <w:pStyle w:val="TableContents"/>
              <w:bidi w:val="0"/>
              <w:spacing w:before="0" w:after="283"/>
              <w:jc w:val="left"/>
              <w:rPr>
                <w:sz w:val="4"/>
                <w:szCs w:val="4"/>
              </w:rPr>
            </w:pPr>
            <w:r>
              <w:rPr>
                <w:sz w:val="4"/>
                <w:szCs w:val="4"/>
              </w:rPr>
            </w:r>
          </w:p>
        </w:tc>
      </w:tr>
      <w:tr>
        <w:trPr/>
        <w:tc>
          <w:tcPr>
            <w:tcW w:w="3697" w:type="dxa"/>
            <w:tcBorders/>
          </w:tcPr>
          <w:p>
            <w:pPr>
              <w:pStyle w:val="TableContents"/>
              <w:bidi w:val="0"/>
              <w:spacing w:before="0" w:after="283"/>
              <w:jc w:val="left"/>
              <w:rPr/>
            </w:pPr>
            <w:r>
              <w:rPr/>
              <w:t>Signature(s) must be guaranteed</w:t>
            </w:r>
          </w:p>
        </w:tc>
        <w:tc>
          <w:tcPr>
            <w:tcW w:w="122" w:type="dxa"/>
            <w:tcBorders/>
            <w:vAlign w:val="bottom"/>
          </w:tcPr>
          <w:p>
            <w:pPr>
              <w:pStyle w:val="TableContents"/>
              <w:bidi w:val="0"/>
              <w:spacing w:before="0" w:after="283"/>
              <w:jc w:val="left"/>
              <w:rPr/>
            </w:pPr>
            <w:r>
              <w:rPr/>
              <w:t>  </w:t>
            </w:r>
          </w:p>
        </w:tc>
        <w:tc>
          <w:tcPr>
            <w:tcW w:w="6386" w:type="dxa"/>
            <w:tcBorders/>
          </w:tcPr>
          <w:p>
            <w:pPr>
              <w:pStyle w:val="TableContents"/>
              <w:bidi w:val="0"/>
              <w:spacing w:before="0" w:after="283"/>
              <w:jc w:val="left"/>
              <w:rPr>
                <w:sz w:val="4"/>
                <w:szCs w:val="4"/>
              </w:rPr>
            </w:pPr>
            <w:r>
              <w:rPr>
                <w:sz w:val="4"/>
                <w:szCs w:val="4"/>
              </w:rPr>
            </w:r>
          </w:p>
        </w:tc>
      </w:tr>
      <w:tr>
        <w:trPr/>
        <w:tc>
          <w:tcPr>
            <w:tcW w:w="3697" w:type="dxa"/>
            <w:tcBorders/>
          </w:tcPr>
          <w:p>
            <w:pPr>
              <w:pStyle w:val="TableContents"/>
              <w:bidi w:val="0"/>
              <w:spacing w:before="0" w:after="283"/>
              <w:jc w:val="left"/>
              <w:rPr/>
            </w:pPr>
            <w:r>
              <w:rPr/>
              <w:t>by an eligible Guarantor Institution</w:t>
            </w:r>
          </w:p>
        </w:tc>
        <w:tc>
          <w:tcPr>
            <w:tcW w:w="122" w:type="dxa"/>
            <w:tcBorders/>
            <w:vAlign w:val="bottom"/>
          </w:tcPr>
          <w:p>
            <w:pPr>
              <w:pStyle w:val="TableContents"/>
              <w:bidi w:val="0"/>
              <w:spacing w:before="0" w:after="283"/>
              <w:jc w:val="left"/>
              <w:rPr/>
            </w:pPr>
            <w:r>
              <w:rPr/>
              <w:t>  </w:t>
            </w:r>
          </w:p>
        </w:tc>
        <w:tc>
          <w:tcPr>
            <w:tcW w:w="6386" w:type="dxa"/>
            <w:tcBorders/>
          </w:tcPr>
          <w:p>
            <w:pPr>
              <w:pStyle w:val="TableContents"/>
              <w:bidi w:val="0"/>
              <w:spacing w:before="0" w:after="283"/>
              <w:jc w:val="left"/>
              <w:rPr>
                <w:sz w:val="4"/>
                <w:szCs w:val="4"/>
              </w:rPr>
            </w:pPr>
            <w:r>
              <w:rPr>
                <w:sz w:val="4"/>
                <w:szCs w:val="4"/>
              </w:rPr>
            </w:r>
          </w:p>
        </w:tc>
      </w:tr>
      <w:tr>
        <w:trPr/>
        <w:tc>
          <w:tcPr>
            <w:tcW w:w="3697" w:type="dxa"/>
            <w:tcBorders/>
          </w:tcPr>
          <w:p>
            <w:pPr>
              <w:pStyle w:val="TableContents"/>
              <w:bidi w:val="0"/>
              <w:spacing w:before="0" w:after="283"/>
              <w:jc w:val="left"/>
              <w:rPr/>
            </w:pPr>
            <w:r>
              <w:rPr/>
              <w:t>(banks, stock brokers, savings and</w:t>
            </w:r>
          </w:p>
        </w:tc>
        <w:tc>
          <w:tcPr>
            <w:tcW w:w="122" w:type="dxa"/>
            <w:tcBorders/>
            <w:vAlign w:val="bottom"/>
          </w:tcPr>
          <w:p>
            <w:pPr>
              <w:pStyle w:val="TableContents"/>
              <w:bidi w:val="0"/>
              <w:spacing w:before="0" w:after="283"/>
              <w:jc w:val="left"/>
              <w:rPr/>
            </w:pPr>
            <w:r>
              <w:rPr/>
              <w:t>  </w:t>
            </w:r>
          </w:p>
        </w:tc>
        <w:tc>
          <w:tcPr>
            <w:tcW w:w="6386" w:type="dxa"/>
            <w:tcBorders/>
          </w:tcPr>
          <w:p>
            <w:pPr>
              <w:pStyle w:val="TableContents"/>
              <w:bidi w:val="0"/>
              <w:spacing w:before="0" w:after="283"/>
              <w:jc w:val="left"/>
              <w:rPr>
                <w:sz w:val="4"/>
                <w:szCs w:val="4"/>
              </w:rPr>
            </w:pPr>
            <w:r>
              <w:rPr>
                <w:sz w:val="4"/>
                <w:szCs w:val="4"/>
              </w:rPr>
            </w:r>
          </w:p>
        </w:tc>
      </w:tr>
      <w:tr>
        <w:trPr/>
        <w:tc>
          <w:tcPr>
            <w:tcW w:w="3697" w:type="dxa"/>
            <w:tcBorders/>
          </w:tcPr>
          <w:p>
            <w:pPr>
              <w:pStyle w:val="TableContents"/>
              <w:bidi w:val="0"/>
              <w:spacing w:before="0" w:after="283"/>
              <w:jc w:val="left"/>
              <w:rPr/>
            </w:pPr>
            <w:r>
              <w:rPr/>
              <w:t>loan associations and credit unions)</w:t>
            </w:r>
          </w:p>
        </w:tc>
        <w:tc>
          <w:tcPr>
            <w:tcW w:w="122" w:type="dxa"/>
            <w:tcBorders/>
            <w:vAlign w:val="bottom"/>
          </w:tcPr>
          <w:p>
            <w:pPr>
              <w:pStyle w:val="TableContents"/>
              <w:bidi w:val="0"/>
              <w:spacing w:before="0" w:after="283"/>
              <w:jc w:val="left"/>
              <w:rPr/>
            </w:pPr>
            <w:r>
              <w:rPr/>
              <w:t>  </w:t>
            </w:r>
          </w:p>
        </w:tc>
        <w:tc>
          <w:tcPr>
            <w:tcW w:w="6386" w:type="dxa"/>
            <w:tcBorders/>
          </w:tcPr>
          <w:p>
            <w:pPr>
              <w:pStyle w:val="TableContents"/>
              <w:bidi w:val="0"/>
              <w:spacing w:before="0" w:after="283"/>
              <w:jc w:val="left"/>
              <w:rPr>
                <w:sz w:val="4"/>
                <w:szCs w:val="4"/>
              </w:rPr>
            </w:pPr>
            <w:r>
              <w:rPr>
                <w:sz w:val="4"/>
                <w:szCs w:val="4"/>
              </w:rPr>
            </w:r>
          </w:p>
        </w:tc>
      </w:tr>
      <w:tr>
        <w:trPr/>
        <w:tc>
          <w:tcPr>
            <w:tcW w:w="3697" w:type="dxa"/>
            <w:tcBorders/>
          </w:tcPr>
          <w:p>
            <w:pPr>
              <w:pStyle w:val="TableContents"/>
              <w:bidi w:val="0"/>
              <w:spacing w:before="0" w:after="283"/>
              <w:jc w:val="left"/>
              <w:rPr/>
            </w:pPr>
            <w:r>
              <w:rPr/>
              <w:t>with membership in an approved</w:t>
            </w:r>
          </w:p>
        </w:tc>
        <w:tc>
          <w:tcPr>
            <w:tcW w:w="122" w:type="dxa"/>
            <w:tcBorders/>
            <w:vAlign w:val="bottom"/>
          </w:tcPr>
          <w:p>
            <w:pPr>
              <w:pStyle w:val="TableContents"/>
              <w:bidi w:val="0"/>
              <w:spacing w:before="0" w:after="283"/>
              <w:jc w:val="left"/>
              <w:rPr/>
            </w:pPr>
            <w:r>
              <w:rPr/>
              <w:t>  </w:t>
            </w:r>
          </w:p>
        </w:tc>
        <w:tc>
          <w:tcPr>
            <w:tcW w:w="6386" w:type="dxa"/>
            <w:tcBorders/>
          </w:tcPr>
          <w:p>
            <w:pPr>
              <w:pStyle w:val="TableContents"/>
              <w:bidi w:val="0"/>
              <w:spacing w:before="0" w:after="283"/>
              <w:jc w:val="left"/>
              <w:rPr>
                <w:sz w:val="4"/>
                <w:szCs w:val="4"/>
              </w:rPr>
            </w:pPr>
            <w:r>
              <w:rPr>
                <w:sz w:val="4"/>
                <w:szCs w:val="4"/>
              </w:rPr>
            </w:r>
          </w:p>
        </w:tc>
      </w:tr>
      <w:tr>
        <w:trPr/>
        <w:tc>
          <w:tcPr>
            <w:tcW w:w="3697" w:type="dxa"/>
            <w:tcBorders/>
          </w:tcPr>
          <w:p>
            <w:pPr>
              <w:pStyle w:val="TableContents"/>
              <w:bidi w:val="0"/>
              <w:spacing w:before="0" w:after="283"/>
              <w:jc w:val="left"/>
              <w:rPr/>
            </w:pPr>
            <w:r>
              <w:rPr/>
              <w:t>signature guarantee medallion program</w:t>
            </w:r>
          </w:p>
        </w:tc>
        <w:tc>
          <w:tcPr>
            <w:tcW w:w="122" w:type="dxa"/>
            <w:tcBorders/>
            <w:vAlign w:val="bottom"/>
          </w:tcPr>
          <w:p>
            <w:pPr>
              <w:pStyle w:val="TableContents"/>
              <w:bidi w:val="0"/>
              <w:spacing w:before="0" w:after="283"/>
              <w:jc w:val="left"/>
              <w:rPr/>
            </w:pPr>
            <w:r>
              <w:rPr/>
              <w:t>  </w:t>
            </w:r>
          </w:p>
        </w:tc>
        <w:tc>
          <w:tcPr>
            <w:tcW w:w="6386" w:type="dxa"/>
            <w:tcBorders/>
          </w:tcPr>
          <w:p>
            <w:pPr>
              <w:pStyle w:val="TableContents"/>
              <w:bidi w:val="0"/>
              <w:spacing w:before="0" w:after="283"/>
              <w:jc w:val="left"/>
              <w:rPr>
                <w:sz w:val="4"/>
                <w:szCs w:val="4"/>
              </w:rPr>
            </w:pPr>
            <w:r>
              <w:rPr>
                <w:sz w:val="4"/>
                <w:szCs w:val="4"/>
              </w:rPr>
            </w:r>
          </w:p>
        </w:tc>
      </w:tr>
      <w:tr>
        <w:trPr/>
        <w:tc>
          <w:tcPr>
            <w:tcW w:w="3697" w:type="dxa"/>
            <w:tcBorders/>
          </w:tcPr>
          <w:p>
            <w:pPr>
              <w:pStyle w:val="TableContents"/>
              <w:bidi w:val="0"/>
              <w:spacing w:before="0" w:after="283"/>
              <w:jc w:val="left"/>
              <w:rPr/>
            </w:pPr>
            <w:r>
              <w:rPr/>
              <w:t>pursuant to Securities and Exchange</w:t>
            </w:r>
          </w:p>
        </w:tc>
        <w:tc>
          <w:tcPr>
            <w:tcW w:w="122" w:type="dxa"/>
            <w:tcBorders/>
            <w:vAlign w:val="bottom"/>
          </w:tcPr>
          <w:p>
            <w:pPr>
              <w:pStyle w:val="TableContents"/>
              <w:bidi w:val="0"/>
              <w:spacing w:before="0" w:after="283"/>
              <w:jc w:val="left"/>
              <w:rPr/>
            </w:pPr>
            <w:r>
              <w:rPr/>
              <w:t>  </w:t>
            </w:r>
          </w:p>
        </w:tc>
        <w:tc>
          <w:tcPr>
            <w:tcW w:w="6386" w:type="dxa"/>
            <w:tcBorders/>
          </w:tcPr>
          <w:p>
            <w:pPr>
              <w:pStyle w:val="TableContents"/>
              <w:bidi w:val="0"/>
              <w:spacing w:before="0" w:after="283"/>
              <w:jc w:val="left"/>
              <w:rPr>
                <w:sz w:val="4"/>
                <w:szCs w:val="4"/>
              </w:rPr>
            </w:pPr>
            <w:r>
              <w:rPr>
                <w:sz w:val="4"/>
                <w:szCs w:val="4"/>
              </w:rPr>
            </w:r>
          </w:p>
        </w:tc>
      </w:tr>
      <w:tr>
        <w:trPr/>
        <w:tc>
          <w:tcPr>
            <w:tcW w:w="3697" w:type="dxa"/>
            <w:tcBorders/>
          </w:tcPr>
          <w:p>
            <w:pPr>
              <w:pStyle w:val="TableContents"/>
              <w:bidi w:val="0"/>
              <w:spacing w:before="0" w:after="283"/>
              <w:jc w:val="left"/>
              <w:rPr/>
            </w:pPr>
            <w:r>
              <w:rPr/>
              <w:t>Commission Rule 17Ad-15 if shares</w:t>
            </w:r>
          </w:p>
        </w:tc>
        <w:tc>
          <w:tcPr>
            <w:tcW w:w="122" w:type="dxa"/>
            <w:tcBorders/>
            <w:vAlign w:val="bottom"/>
          </w:tcPr>
          <w:p>
            <w:pPr>
              <w:pStyle w:val="TableContents"/>
              <w:bidi w:val="0"/>
              <w:spacing w:before="0" w:after="283"/>
              <w:jc w:val="left"/>
              <w:rPr/>
            </w:pPr>
            <w:r>
              <w:rPr/>
              <w:t>  </w:t>
            </w:r>
          </w:p>
        </w:tc>
        <w:tc>
          <w:tcPr>
            <w:tcW w:w="6386" w:type="dxa"/>
            <w:tcBorders/>
          </w:tcPr>
          <w:p>
            <w:pPr>
              <w:pStyle w:val="TableContents"/>
              <w:bidi w:val="0"/>
              <w:spacing w:before="0" w:after="283"/>
              <w:jc w:val="left"/>
              <w:rPr>
                <w:sz w:val="4"/>
                <w:szCs w:val="4"/>
              </w:rPr>
            </w:pPr>
            <w:r>
              <w:rPr>
                <w:sz w:val="4"/>
                <w:szCs w:val="4"/>
              </w:rPr>
            </w:r>
          </w:p>
        </w:tc>
      </w:tr>
      <w:tr>
        <w:trPr/>
        <w:tc>
          <w:tcPr>
            <w:tcW w:w="3697" w:type="dxa"/>
            <w:tcBorders/>
          </w:tcPr>
          <w:p>
            <w:pPr>
              <w:pStyle w:val="TableContents"/>
              <w:bidi w:val="0"/>
              <w:spacing w:before="0" w:after="283"/>
              <w:jc w:val="left"/>
              <w:rPr/>
            </w:pPr>
            <w:r>
              <w:rPr/>
              <w:t>of Common Stock are to be issued, or</w:t>
            </w:r>
          </w:p>
        </w:tc>
        <w:tc>
          <w:tcPr>
            <w:tcW w:w="122" w:type="dxa"/>
            <w:tcBorders/>
            <w:vAlign w:val="bottom"/>
          </w:tcPr>
          <w:p>
            <w:pPr>
              <w:pStyle w:val="TableContents"/>
              <w:bidi w:val="0"/>
              <w:spacing w:before="0" w:after="283"/>
              <w:jc w:val="left"/>
              <w:rPr/>
            </w:pPr>
            <w:r>
              <w:rPr/>
              <w:t>  </w:t>
            </w:r>
          </w:p>
        </w:tc>
        <w:tc>
          <w:tcPr>
            <w:tcW w:w="638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7"/>
        <w:gridCol w:w="202"/>
        <w:gridCol w:w="6636"/>
      </w:tblGrid>
      <w:tr>
        <w:trPr/>
        <w:tc>
          <w:tcPr>
            <w:tcW w:w="3367"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663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left"/>
              <w:rPr>
                <w:rFonts w:ascii="Times New Roman" w:hAnsi="Times New Roman"/>
                <w:sz w:val="20"/>
              </w:rPr>
            </w:pPr>
            <w:r>
              <w:rPr>
                <w:rFonts w:ascii="Times New Roman" w:hAnsi="Times New Roman"/>
                <w:sz w:val="20"/>
              </w:rPr>
              <w:t>Notes are to be delivered, other than</w:t>
            </w:r>
          </w:p>
          <w:p>
            <w:pPr>
              <w:pStyle w:val="TableContents"/>
              <w:bidi w:val="0"/>
              <w:spacing w:before="0" w:after="20"/>
              <w:jc w:val="left"/>
              <w:rPr>
                <w:rFonts w:ascii="Times New Roman" w:hAnsi="Times New Roman"/>
                <w:sz w:val="20"/>
              </w:rPr>
            </w:pPr>
            <w:r>
              <w:rPr>
                <w:rFonts w:ascii="Times New Roman" w:hAnsi="Times New Roman"/>
                <w:sz w:val="20"/>
              </w:rPr>
              <w:t>to and in the name of the registered holder.</w:t>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283"/>
              <w:jc w:val="left"/>
              <w:rPr>
                <w:sz w:val="4"/>
                <w:szCs w:val="4"/>
              </w:rPr>
            </w:pPr>
            <w:r>
              <w:rPr>
                <w:sz w:val="4"/>
                <w:szCs w:val="4"/>
              </w:rPr>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left"/>
              <w:rPr>
                <w:rFonts w:ascii="Times New Roman" w:hAnsi="Times New Roman"/>
                <w:sz w:val="20"/>
              </w:rPr>
            </w:pPr>
            <w:r>
              <w:rPr>
                <w:rFonts w:ascii="Times New Roman" w:hAnsi="Times New Roman"/>
                <w:sz w:val="20"/>
              </w:rPr>
              <w:t>Fill in for registration of shares if</w:t>
            </w:r>
          </w:p>
          <w:p>
            <w:pPr>
              <w:pStyle w:val="TableContents"/>
              <w:bidi w:val="0"/>
              <w:spacing w:before="0" w:after="0"/>
              <w:jc w:val="left"/>
              <w:rPr>
                <w:rFonts w:ascii="Times New Roman" w:hAnsi="Times New Roman"/>
                <w:sz w:val="20"/>
              </w:rPr>
            </w:pPr>
            <w:r>
              <w:rPr>
                <w:rFonts w:ascii="Times New Roman" w:hAnsi="Times New Roman"/>
                <w:sz w:val="20"/>
              </w:rPr>
              <w:t>to be issued, and Notes if to</w:t>
            </w:r>
          </w:p>
          <w:p>
            <w:pPr>
              <w:pStyle w:val="TableContents"/>
              <w:bidi w:val="0"/>
              <w:spacing w:before="0" w:after="0"/>
              <w:jc w:val="left"/>
              <w:rPr>
                <w:rFonts w:ascii="Times New Roman" w:hAnsi="Times New Roman"/>
                <w:sz w:val="20"/>
              </w:rPr>
            </w:pPr>
            <w:r>
              <w:rPr>
                <w:rFonts w:ascii="Times New Roman" w:hAnsi="Times New Roman"/>
                <w:sz w:val="20"/>
              </w:rPr>
              <w:t>be delivered, other than to and in the</w:t>
            </w:r>
          </w:p>
          <w:p>
            <w:pPr>
              <w:pStyle w:val="TableContents"/>
              <w:bidi w:val="0"/>
              <w:spacing w:before="0" w:after="20"/>
              <w:jc w:val="left"/>
              <w:rPr>
                <w:rFonts w:ascii="Times New Roman" w:hAnsi="Times New Roman"/>
                <w:sz w:val="20"/>
              </w:rPr>
            </w:pPr>
            <w:r>
              <w:rPr>
                <w:rFonts w:ascii="Times New Roman" w:hAnsi="Times New Roman"/>
                <w:sz w:val="20"/>
              </w:rPr>
              <w:t>name of the registered holder:</w:t>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283"/>
              <w:jc w:val="left"/>
              <w:rPr>
                <w:sz w:val="4"/>
                <w:szCs w:val="4"/>
              </w:rPr>
            </w:pPr>
            <w:r>
              <w:rPr>
                <w:sz w:val="4"/>
                <w:szCs w:val="4"/>
              </w:rPr>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u w:val="single"/>
              </w:rPr>
            </w:pPr>
            <w:r>
              <w:rPr>
                <w:u w:val="single"/>
              </w:rPr>
              <w:t>              </w:t>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(Name)</w:t>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283"/>
              <w:jc w:val="left"/>
              <w:rPr>
                <w:sz w:val="4"/>
                <w:szCs w:val="4"/>
              </w:rPr>
            </w:pPr>
            <w:r>
              <w:rPr>
                <w:sz w:val="4"/>
                <w:szCs w:val="4"/>
              </w:rPr>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u w:val="single"/>
              </w:rPr>
            </w:pPr>
            <w:r>
              <w:rPr>
                <w:u w:val="single"/>
              </w:rPr>
              <w:t>              </w:t>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(Street Address)</w:t>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283"/>
              <w:jc w:val="left"/>
              <w:rPr>
                <w:sz w:val="4"/>
                <w:szCs w:val="4"/>
              </w:rPr>
            </w:pPr>
            <w:r>
              <w:rPr>
                <w:sz w:val="4"/>
                <w:szCs w:val="4"/>
              </w:rPr>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u w:val="single"/>
              </w:rPr>
            </w:pPr>
            <w:r>
              <w:rPr>
                <w:u w:val="single"/>
              </w:rPr>
              <w:t>              </w:t>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(City, State and Zip Code)</w:t>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Please print name and address</w:t>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283"/>
              <w:jc w:val="left"/>
              <w:rPr>
                <w:sz w:val="4"/>
                <w:szCs w:val="4"/>
              </w:rPr>
            </w:pPr>
            <w:r>
              <w:rPr>
                <w:sz w:val="4"/>
                <w:szCs w:val="4"/>
              </w:rPr>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0"/>
              <w:jc w:val="left"/>
              <w:rPr>
                <w:rFonts w:ascii="Times New Roman" w:hAnsi="Times New Roman"/>
                <w:sz w:val="20"/>
              </w:rPr>
            </w:pPr>
            <w:r>
              <w:rPr>
                <w:rFonts w:ascii="Times New Roman" w:hAnsi="Times New Roman"/>
                <w:sz w:val="20"/>
              </w:rPr>
              <w:t>Principal amount to be converted (if less than all):</w:t>
            </w:r>
          </w:p>
          <w:p>
            <w:pPr>
              <w:pStyle w:val="TableContents"/>
              <w:bidi w:val="0"/>
              <w:spacing w:before="0" w:after="20"/>
              <w:jc w:val="left"/>
              <w:rPr>
                <w:rFonts w:ascii="Times New Roman" w:hAnsi="Times New Roman"/>
                <w:sz w:val="20"/>
              </w:rPr>
            </w:pPr>
            <w:r>
              <w:rPr>
                <w:rFonts w:ascii="Times New Roman" w:hAnsi="Times New Roman"/>
                <w:sz w:val="20"/>
              </w:rPr>
              <w:t>$______,000</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0"/>
              <w:jc w:val="left"/>
              <w:rPr>
                <w:rFonts w:ascii="Times New Roman" w:hAnsi="Times New Roman"/>
                <w:sz w:val="20"/>
              </w:rPr>
            </w:pPr>
            <w:r>
              <w:rPr>
                <w:rFonts w:ascii="Times New Roman" w:hAnsi="Times New Roman"/>
                <w:sz w:val="20"/>
              </w:rPr>
              <w:t>NOTICE: The above signature(s) of the Holder(s) hereof</w:t>
            </w:r>
          </w:p>
          <w:p>
            <w:pPr>
              <w:pStyle w:val="TableContents"/>
              <w:bidi w:val="0"/>
              <w:spacing w:before="0" w:after="0"/>
              <w:jc w:val="left"/>
              <w:rPr>
                <w:rFonts w:ascii="Times New Roman" w:hAnsi="Times New Roman"/>
                <w:sz w:val="20"/>
              </w:rPr>
            </w:pPr>
            <w:r>
              <w:rPr>
                <w:rFonts w:ascii="Times New Roman" w:hAnsi="Times New Roman"/>
                <w:sz w:val="20"/>
              </w:rPr>
              <w:t>must correspond with the name as written upon the face of</w:t>
            </w:r>
          </w:p>
          <w:p>
            <w:pPr>
              <w:pStyle w:val="TableContents"/>
              <w:bidi w:val="0"/>
              <w:spacing w:before="0" w:after="0"/>
              <w:jc w:val="left"/>
              <w:rPr>
                <w:rFonts w:ascii="Times New Roman" w:hAnsi="Times New Roman"/>
                <w:sz w:val="20"/>
              </w:rPr>
            </w:pPr>
            <w:r>
              <w:rPr>
                <w:rFonts w:ascii="Times New Roman" w:hAnsi="Times New Roman"/>
                <w:sz w:val="20"/>
              </w:rPr>
              <w:t>the Note in every particular without alteration or</w:t>
            </w:r>
          </w:p>
          <w:p>
            <w:pPr>
              <w:pStyle w:val="TableContents"/>
              <w:bidi w:val="0"/>
              <w:spacing w:before="0" w:after="20"/>
              <w:jc w:val="left"/>
              <w:rPr>
                <w:rFonts w:ascii="Times New Roman" w:hAnsi="Times New Roman"/>
                <w:sz w:val="20"/>
              </w:rPr>
            </w:pPr>
            <w:r>
              <w:rPr>
                <w:rFonts w:ascii="Times New Roman" w:hAnsi="Times New Roman"/>
                <w:sz w:val="20"/>
              </w:rPr>
              <w:t>enlargement or any change whatever.</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283"/>
              <w:jc w:val="left"/>
              <w:rPr>
                <w:u w:val="single"/>
              </w:rPr>
            </w:pPr>
            <w:r>
              <w:rPr>
                <w:u w:val="single"/>
              </w:rPr>
              <w:t>              </w:t>
            </w:r>
          </w:p>
        </w:tc>
      </w:tr>
      <w:tr>
        <w:trPr/>
        <w:tc>
          <w:tcPr>
            <w:tcW w:w="3367"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283"/>
              <w:jc w:val="left"/>
              <w:rPr/>
            </w:pPr>
            <w:r>
              <w:rPr/>
              <w:t>Social Security or Other Taxpayer</w:t>
            </w:r>
          </w:p>
        </w:tc>
      </w:tr>
      <w:tr>
        <w:trPr/>
        <w:tc>
          <w:tcPr>
            <w:tcW w:w="3367"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6636" w:type="dxa"/>
            <w:tcBorders/>
          </w:tcPr>
          <w:p>
            <w:pPr>
              <w:pStyle w:val="TableContents"/>
              <w:bidi w:val="0"/>
              <w:spacing w:before="0" w:after="283"/>
              <w:jc w:val="left"/>
              <w:rPr/>
            </w:pPr>
            <w:r>
              <w:rPr/>
              <w:t>Identification Number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ATTACHMENT 2 </w:t>
      </w:r>
    </w:p>
    <w:p>
      <w:pPr>
        <w:pStyle w:val="TextBody"/>
        <w:bidi w:val="0"/>
        <w:spacing w:before="240" w:after="0"/>
        <w:jc w:val="center"/>
        <w:rPr>
          <w:rFonts w:ascii="Times New Roman" w:hAnsi="Times New Roman"/>
          <w:sz w:val="20"/>
        </w:rPr>
      </w:pPr>
      <w:r>
        <w:rPr>
          <w:rFonts w:ascii="Times New Roman" w:hAnsi="Times New Roman"/>
          <w:sz w:val="20"/>
        </w:rPr>
        <w:t xml:space="preserve">[FORM OF FUNDAMENTAL CHANGE REPURCHASE NOTICE]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Bank Trust Company, National Association </w:t>
            </w:r>
          </w:p>
        </w:tc>
      </w:tr>
    </w:tbl>
    <w:p>
      <w:pPr>
        <w:pStyle w:val="TextBody"/>
        <w:bidi w:val="0"/>
        <w:spacing w:before="0" w:after="0"/>
        <w:jc w:val="left"/>
        <w:rPr>
          <w:rFonts w:ascii="Times New Roman" w:hAnsi="Times New Roman"/>
          <w:sz w:val="20"/>
        </w:rPr>
      </w:pPr>
      <w:r>
        <w:rPr>
          <w:rFonts w:ascii="Times New Roman" w:hAnsi="Times New Roman"/>
          <w:sz w:val="20"/>
        </w:rPr>
        <w:t xml:space="preserve">60 Livingston Ave, </w:t>
      </w:r>
    </w:p>
    <w:p>
      <w:pPr>
        <w:pStyle w:val="TextBody"/>
        <w:bidi w:val="0"/>
        <w:spacing w:before="0" w:after="0"/>
        <w:jc w:val="left"/>
        <w:rPr>
          <w:rFonts w:ascii="Times New Roman" w:hAnsi="Times New Roman"/>
          <w:sz w:val="20"/>
        </w:rPr>
      </w:pPr>
      <w:r>
        <w:rPr>
          <w:rFonts w:ascii="Times New Roman" w:hAnsi="Times New Roman"/>
          <w:sz w:val="20"/>
        </w:rPr>
        <w:t xml:space="preserve">Saint Paul, MN 55107 </w:t>
      </w:r>
    </w:p>
    <w:p>
      <w:pPr>
        <w:pStyle w:val="TextBody"/>
        <w:bidi w:val="0"/>
        <w:spacing w:before="0" w:after="0"/>
        <w:jc w:val="left"/>
        <w:rPr>
          <w:rFonts w:ascii="Times New Roman" w:hAnsi="Times New Roman"/>
          <w:sz w:val="20"/>
        </w:rPr>
      </w:pPr>
      <w:r>
        <w:rPr>
          <w:rFonts w:ascii="Times New Roman" w:hAnsi="Times New Roman"/>
          <w:sz w:val="20"/>
        </w:rPr>
        <w:t xml:space="preserve">Attention: AEVA Technologies, Inc. Administrator </w:t>
      </w:r>
    </w:p>
    <w:p>
      <w:pPr>
        <w:pStyle w:val="TextBody"/>
        <w:bidi w:val="0"/>
        <w:spacing w:before="240" w:after="0"/>
        <w:jc w:val="left"/>
        <w:rPr>
          <w:rFonts w:ascii="Times New Roman" w:hAnsi="Times New Roman"/>
          <w:sz w:val="20"/>
        </w:rPr>
      </w:pPr>
      <w:r>
        <w:rPr>
          <w:rFonts w:ascii="Times New Roman" w:hAnsi="Times New Roman"/>
          <w:sz w:val="20"/>
        </w:rPr>
        <w:t>The undersigned registered owner of this Note hereby acknowledges receipt of a notice from AEVA Technologies, Inc. (the “</w:t>
      </w:r>
      <w:r>
        <w:rPr>
          <w:rFonts w:ascii="Times New Roman" w:hAnsi="Times New Roman"/>
          <w:b/>
          <w:sz w:val="20"/>
        </w:rPr>
        <w:t>Company</w:t>
      </w:r>
      <w:r>
        <w:rPr>
          <w:rFonts w:ascii="Times New Roman" w:hAnsi="Times New Roman"/>
          <w:sz w:val="20"/>
        </w:rPr>
        <w:t xml:space="preserve">”)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thereon to, but excluding, such Fundamental Change Repurchase Date. Capitalized terms used herein but not defined shall have the meanings ascribed to such terms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Physical Notes, the certificate numbers of the Notes to be repurchased are as set forth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15"/>
        <w:gridCol w:w="204"/>
        <w:gridCol w:w="6586"/>
      </w:tblGrid>
      <w:tr>
        <w:trPr/>
        <w:tc>
          <w:tcPr>
            <w:tcW w:w="341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586" w:type="dxa"/>
            <w:tcBorders/>
            <w:vAlign w:val="center"/>
          </w:tcPr>
          <w:p>
            <w:pPr>
              <w:pStyle w:val="TableContents"/>
              <w:bidi w:val="0"/>
              <w:spacing w:before="0" w:after="283"/>
              <w:jc w:val="left"/>
              <w:rPr>
                <w:sz w:val="4"/>
                <w:szCs w:val="4"/>
              </w:rPr>
            </w:pPr>
            <w:r>
              <w:rPr>
                <w:sz w:val="4"/>
                <w:szCs w:val="4"/>
              </w:rPr>
            </w:r>
          </w:p>
        </w:tc>
      </w:tr>
      <w:tr>
        <w:trPr/>
        <w:tc>
          <w:tcPr>
            <w:tcW w:w="3415" w:type="dxa"/>
            <w:tcBorders/>
          </w:tcPr>
          <w:p>
            <w:pPr>
              <w:pStyle w:val="TableContents"/>
              <w:bidi w:val="0"/>
              <w:spacing w:before="0" w:after="283"/>
              <w:jc w:val="left"/>
              <w:rPr/>
            </w:pPr>
            <w:r>
              <w:rPr/>
              <w:t>Dated:</w:t>
            </w:r>
            <w:r>
              <w:rPr>
                <w:u w:val="single"/>
              </w:rPr>
              <w:t>              </w:t>
            </w:r>
          </w:p>
        </w:tc>
        <w:tc>
          <w:tcPr>
            <w:tcW w:w="204" w:type="dxa"/>
            <w:tcBorders/>
            <w:vAlign w:val="bottom"/>
          </w:tcPr>
          <w:p>
            <w:pPr>
              <w:pStyle w:val="TableContents"/>
              <w:bidi w:val="0"/>
              <w:spacing w:before="0" w:after="283"/>
              <w:jc w:val="left"/>
              <w:rPr/>
            </w:pPr>
            <w:r>
              <w:rPr/>
              <w:t>  </w:t>
            </w:r>
          </w:p>
        </w:tc>
        <w:tc>
          <w:tcPr>
            <w:tcW w:w="6586" w:type="dxa"/>
            <w:tcBorders/>
          </w:tcPr>
          <w:p>
            <w:pPr>
              <w:pStyle w:val="TableContents"/>
              <w:bidi w:val="0"/>
              <w:spacing w:before="0" w:after="283"/>
              <w:jc w:val="left"/>
              <w:rPr>
                <w:sz w:val="4"/>
                <w:szCs w:val="4"/>
              </w:rPr>
            </w:pPr>
            <w:r>
              <w:rPr>
                <w:sz w:val="4"/>
                <w:szCs w:val="4"/>
              </w:rPr>
            </w:r>
          </w:p>
        </w:tc>
      </w:tr>
      <w:tr>
        <w:trPr>
          <w:trHeight w:val="120" w:hRule="atLeast"/>
        </w:trPr>
        <w:tc>
          <w:tcPr>
            <w:tcW w:w="3415" w:type="dxa"/>
            <w:tcBorders/>
            <w:vAlign w:val="center"/>
          </w:tcPr>
          <w:p>
            <w:pPr>
              <w:pStyle w:val="TableContents"/>
              <w:bidi w:val="0"/>
              <w:spacing w:before="0" w:after="283"/>
              <w:jc w:val="left"/>
              <w:rPr>
                <w:sz w:val="4"/>
                <w:szCs w:val="4"/>
              </w:rPr>
            </w:pPr>
            <w:r>
              <w:rPr>
                <w:sz w:val="4"/>
                <w:szCs w:val="4"/>
              </w:rPr>
            </w:r>
          </w:p>
        </w:tc>
        <w:tc>
          <w:tcPr>
            <w:tcW w:w="6790" w:type="dxa"/>
            <w:gridSpan w:val="2"/>
            <w:tcBorders/>
            <w:vAlign w:val="center"/>
          </w:tcPr>
          <w:p>
            <w:pPr>
              <w:pStyle w:val="TableContents"/>
              <w:bidi w:val="0"/>
              <w:spacing w:before="0" w:after="283"/>
              <w:jc w:val="left"/>
              <w:rPr>
                <w:sz w:val="4"/>
                <w:szCs w:val="4"/>
              </w:rPr>
            </w:pPr>
            <w:r>
              <w:rPr>
                <w:sz w:val="4"/>
                <w:szCs w:val="4"/>
              </w:rPr>
            </w:r>
          </w:p>
        </w:tc>
      </w:tr>
      <w:tr>
        <w:trPr/>
        <w:tc>
          <w:tcPr>
            <w:tcW w:w="3415"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586" w:type="dxa"/>
            <w:tcBorders/>
          </w:tcPr>
          <w:p>
            <w:pPr>
              <w:pStyle w:val="TableContents"/>
              <w:bidi w:val="0"/>
              <w:spacing w:before="0" w:after="283"/>
              <w:jc w:val="left"/>
              <w:rPr>
                <w:u w:val="single"/>
              </w:rPr>
            </w:pPr>
            <w:r>
              <w:rPr>
                <w:u w:val="single"/>
              </w:rPr>
              <w:t>                </w:t>
            </w:r>
          </w:p>
        </w:tc>
      </w:tr>
      <w:tr>
        <w:trPr/>
        <w:tc>
          <w:tcPr>
            <w:tcW w:w="3415"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586" w:type="dxa"/>
            <w:tcBorders/>
          </w:tcPr>
          <w:p>
            <w:pPr>
              <w:pStyle w:val="TableContents"/>
              <w:bidi w:val="0"/>
              <w:spacing w:before="0" w:after="283"/>
              <w:jc w:val="left"/>
              <w:rPr/>
            </w:pPr>
            <w:r>
              <w:rPr/>
              <w:t>Signature(s)</w:t>
            </w:r>
          </w:p>
        </w:tc>
      </w:tr>
      <w:tr>
        <w:trPr>
          <w:trHeight w:val="120" w:hRule="atLeast"/>
        </w:trPr>
        <w:tc>
          <w:tcPr>
            <w:tcW w:w="3415" w:type="dxa"/>
            <w:tcBorders/>
            <w:vAlign w:val="center"/>
          </w:tcPr>
          <w:p>
            <w:pPr>
              <w:pStyle w:val="TableContents"/>
              <w:bidi w:val="0"/>
              <w:spacing w:before="0" w:after="283"/>
              <w:jc w:val="left"/>
              <w:rPr>
                <w:sz w:val="4"/>
                <w:szCs w:val="4"/>
              </w:rPr>
            </w:pPr>
            <w:r>
              <w:rPr>
                <w:sz w:val="4"/>
                <w:szCs w:val="4"/>
              </w:rPr>
            </w:r>
          </w:p>
        </w:tc>
        <w:tc>
          <w:tcPr>
            <w:tcW w:w="6790" w:type="dxa"/>
            <w:gridSpan w:val="2"/>
            <w:tcBorders/>
            <w:vAlign w:val="center"/>
          </w:tcPr>
          <w:p>
            <w:pPr>
              <w:pStyle w:val="TableContents"/>
              <w:bidi w:val="0"/>
              <w:spacing w:before="0" w:after="283"/>
              <w:jc w:val="left"/>
              <w:rPr>
                <w:sz w:val="4"/>
                <w:szCs w:val="4"/>
              </w:rPr>
            </w:pPr>
            <w:r>
              <w:rPr>
                <w:sz w:val="4"/>
                <w:szCs w:val="4"/>
              </w:rPr>
            </w:r>
          </w:p>
        </w:tc>
      </w:tr>
      <w:tr>
        <w:trPr/>
        <w:tc>
          <w:tcPr>
            <w:tcW w:w="3415"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586" w:type="dxa"/>
            <w:tcBorders/>
          </w:tcPr>
          <w:p>
            <w:pPr>
              <w:pStyle w:val="TableContents"/>
              <w:bidi w:val="0"/>
              <w:spacing w:before="0" w:after="283"/>
              <w:jc w:val="left"/>
              <w:rPr>
                <w:u w:val="single"/>
              </w:rPr>
            </w:pPr>
            <w:r>
              <w:rPr>
                <w:u w:val="single"/>
              </w:rPr>
              <w:t>              </w:t>
            </w:r>
          </w:p>
        </w:tc>
      </w:tr>
      <w:tr>
        <w:trPr/>
        <w:tc>
          <w:tcPr>
            <w:tcW w:w="3415"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586" w:type="dxa"/>
            <w:tcBorders/>
          </w:tcPr>
          <w:p>
            <w:pPr>
              <w:pStyle w:val="TableContents"/>
              <w:bidi w:val="0"/>
              <w:spacing w:before="0" w:after="283"/>
              <w:jc w:val="left"/>
              <w:rPr/>
            </w:pPr>
            <w:r>
              <w:rPr/>
              <w:t>Social Security or Other Taxpayer</w:t>
            </w:r>
          </w:p>
        </w:tc>
      </w:tr>
      <w:tr>
        <w:trPr/>
        <w:tc>
          <w:tcPr>
            <w:tcW w:w="3415"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586" w:type="dxa"/>
            <w:tcBorders/>
          </w:tcPr>
          <w:p>
            <w:pPr>
              <w:pStyle w:val="TableContents"/>
              <w:bidi w:val="0"/>
              <w:spacing w:before="0" w:after="283"/>
              <w:jc w:val="left"/>
              <w:rPr/>
            </w:pPr>
            <w:r>
              <w:rPr/>
              <w:t>Identification Number</w:t>
            </w:r>
          </w:p>
        </w:tc>
      </w:tr>
      <w:tr>
        <w:trPr>
          <w:trHeight w:val="120" w:hRule="atLeast"/>
        </w:trPr>
        <w:tc>
          <w:tcPr>
            <w:tcW w:w="3415" w:type="dxa"/>
            <w:tcBorders/>
            <w:vAlign w:val="center"/>
          </w:tcPr>
          <w:p>
            <w:pPr>
              <w:pStyle w:val="TableContents"/>
              <w:bidi w:val="0"/>
              <w:spacing w:before="0" w:after="283"/>
              <w:jc w:val="left"/>
              <w:rPr>
                <w:sz w:val="4"/>
                <w:szCs w:val="4"/>
              </w:rPr>
            </w:pPr>
            <w:r>
              <w:rPr>
                <w:sz w:val="4"/>
                <w:szCs w:val="4"/>
              </w:rPr>
            </w:r>
          </w:p>
        </w:tc>
        <w:tc>
          <w:tcPr>
            <w:tcW w:w="6790" w:type="dxa"/>
            <w:gridSpan w:val="2"/>
            <w:tcBorders/>
            <w:vAlign w:val="center"/>
          </w:tcPr>
          <w:p>
            <w:pPr>
              <w:pStyle w:val="TableContents"/>
              <w:bidi w:val="0"/>
              <w:spacing w:before="0" w:after="283"/>
              <w:jc w:val="left"/>
              <w:rPr>
                <w:sz w:val="4"/>
                <w:szCs w:val="4"/>
              </w:rPr>
            </w:pPr>
            <w:r>
              <w:rPr>
                <w:sz w:val="4"/>
                <w:szCs w:val="4"/>
              </w:rPr>
            </w:r>
          </w:p>
        </w:tc>
      </w:tr>
      <w:tr>
        <w:trPr/>
        <w:tc>
          <w:tcPr>
            <w:tcW w:w="3415"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586" w:type="dxa"/>
            <w:tcBorders/>
          </w:tcPr>
          <w:p>
            <w:pPr>
              <w:pStyle w:val="TableContents"/>
              <w:bidi w:val="0"/>
              <w:spacing w:before="0" w:after="0"/>
              <w:jc w:val="left"/>
              <w:rPr>
                <w:rFonts w:ascii="Times New Roman" w:hAnsi="Times New Roman"/>
                <w:sz w:val="20"/>
              </w:rPr>
            </w:pPr>
            <w:r>
              <w:rPr>
                <w:rFonts w:ascii="Times New Roman" w:hAnsi="Times New Roman"/>
                <w:sz w:val="20"/>
              </w:rPr>
              <w:t>Principal amount to be repurchased (if less than all):</w:t>
            </w:r>
          </w:p>
          <w:p>
            <w:pPr>
              <w:pStyle w:val="TableContents"/>
              <w:bidi w:val="0"/>
              <w:spacing w:before="0" w:after="20"/>
              <w:jc w:val="left"/>
              <w:rPr>
                <w:rFonts w:ascii="Times New Roman" w:hAnsi="Times New Roman"/>
                <w:sz w:val="20"/>
              </w:rPr>
            </w:pPr>
            <w:r>
              <w:rPr>
                <w:rFonts w:ascii="Times New Roman" w:hAnsi="Times New Roman"/>
                <w:sz w:val="20"/>
              </w:rPr>
              <w:t>$______,000</w:t>
            </w:r>
          </w:p>
        </w:tc>
      </w:tr>
      <w:tr>
        <w:trPr>
          <w:trHeight w:val="120" w:hRule="atLeast"/>
        </w:trPr>
        <w:tc>
          <w:tcPr>
            <w:tcW w:w="3415" w:type="dxa"/>
            <w:tcBorders/>
            <w:vAlign w:val="center"/>
          </w:tcPr>
          <w:p>
            <w:pPr>
              <w:pStyle w:val="TableContents"/>
              <w:bidi w:val="0"/>
              <w:spacing w:before="0" w:after="283"/>
              <w:jc w:val="left"/>
              <w:rPr>
                <w:sz w:val="4"/>
                <w:szCs w:val="4"/>
              </w:rPr>
            </w:pPr>
            <w:r>
              <w:rPr>
                <w:sz w:val="4"/>
                <w:szCs w:val="4"/>
              </w:rPr>
            </w:r>
          </w:p>
        </w:tc>
        <w:tc>
          <w:tcPr>
            <w:tcW w:w="6790" w:type="dxa"/>
            <w:gridSpan w:val="2"/>
            <w:tcBorders/>
            <w:vAlign w:val="center"/>
          </w:tcPr>
          <w:p>
            <w:pPr>
              <w:pStyle w:val="TableContents"/>
              <w:bidi w:val="0"/>
              <w:spacing w:before="0" w:after="283"/>
              <w:jc w:val="left"/>
              <w:rPr>
                <w:sz w:val="4"/>
                <w:szCs w:val="4"/>
              </w:rPr>
            </w:pPr>
            <w:r>
              <w:rPr>
                <w:sz w:val="4"/>
                <w:szCs w:val="4"/>
              </w:rPr>
            </w:r>
          </w:p>
        </w:tc>
      </w:tr>
      <w:tr>
        <w:trPr/>
        <w:tc>
          <w:tcPr>
            <w:tcW w:w="3415"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6586" w:type="dxa"/>
            <w:tcBorders/>
          </w:tcPr>
          <w:p>
            <w:pPr>
              <w:pStyle w:val="TableContents"/>
              <w:bidi w:val="0"/>
              <w:spacing w:before="0" w:after="0"/>
              <w:jc w:val="left"/>
              <w:rPr>
                <w:rFonts w:ascii="Times New Roman" w:hAnsi="Times New Roman"/>
                <w:sz w:val="20"/>
              </w:rPr>
            </w:pPr>
            <w:r>
              <w:rPr>
                <w:rFonts w:ascii="Times New Roman" w:hAnsi="Times New Roman"/>
                <w:sz w:val="20"/>
              </w:rPr>
              <w:t>NOTICE: The above signature(s) of the Holder(s) hereof</w:t>
            </w:r>
          </w:p>
          <w:p>
            <w:pPr>
              <w:pStyle w:val="TableContents"/>
              <w:bidi w:val="0"/>
              <w:spacing w:before="0" w:after="0"/>
              <w:jc w:val="left"/>
              <w:rPr>
                <w:rFonts w:ascii="Times New Roman" w:hAnsi="Times New Roman"/>
                <w:sz w:val="20"/>
              </w:rPr>
            </w:pPr>
            <w:r>
              <w:rPr>
                <w:rFonts w:ascii="Times New Roman" w:hAnsi="Times New Roman"/>
                <w:sz w:val="20"/>
              </w:rPr>
              <w:t>must correspond with the name as written upon the face of</w:t>
            </w:r>
          </w:p>
          <w:p>
            <w:pPr>
              <w:pStyle w:val="TableContents"/>
              <w:bidi w:val="0"/>
              <w:spacing w:before="0" w:after="0"/>
              <w:jc w:val="left"/>
              <w:rPr>
                <w:rFonts w:ascii="Times New Roman" w:hAnsi="Times New Roman"/>
                <w:sz w:val="20"/>
              </w:rPr>
            </w:pPr>
            <w:r>
              <w:rPr>
                <w:rFonts w:ascii="Times New Roman" w:hAnsi="Times New Roman"/>
                <w:sz w:val="20"/>
              </w:rPr>
              <w:t>the Note in every particular without alteration or</w:t>
            </w:r>
          </w:p>
          <w:p>
            <w:pPr>
              <w:pStyle w:val="TableContents"/>
              <w:bidi w:val="0"/>
              <w:spacing w:before="0" w:after="20"/>
              <w:jc w:val="left"/>
              <w:rPr>
                <w:rFonts w:ascii="Times New Roman" w:hAnsi="Times New Roman"/>
                <w:sz w:val="20"/>
              </w:rPr>
            </w:pPr>
            <w:r>
              <w:rPr>
                <w:rFonts w:ascii="Times New Roman" w:hAnsi="Times New Roman"/>
                <w:sz w:val="20"/>
              </w:rPr>
              <w:t>enlargement or any change whatever.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ATTACHMENT 3 </w:t>
      </w:r>
    </w:p>
    <w:p>
      <w:pPr>
        <w:pStyle w:val="TextBody"/>
        <w:bidi w:val="0"/>
        <w:spacing w:before="240" w:after="0"/>
        <w:jc w:val="center"/>
        <w:rPr>
          <w:rFonts w:ascii="Times New Roman" w:hAnsi="Times New Roman"/>
          <w:sz w:val="20"/>
        </w:rPr>
      </w:pPr>
      <w:r>
        <w:rPr>
          <w:rFonts w:ascii="Times New Roman" w:hAnsi="Times New Roman"/>
          <w:sz w:val="20"/>
        </w:rPr>
        <w:t xml:space="preserve">[FORM OF ASSIGNMENT AND TRANSFER]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____________________________ hereby sell(s), assign(s) and transfer(s) unto _________________ (Please insert social security or Taxpayer Identification Number of assignee) the within Note, and hereby irrevocably constitutes and appoints _____________________ attorney to transfer the said Note on the books of the Company, with full power of substitution in the premises.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transfer of the within Note occurring prior to the time when the Company delivers written notice to the Trustee for the removal of the restrictive legend affixed to such Note, the undersigned confirms that such Note is being transferred: </w:t>
      </w:r>
    </w:p>
    <w:p>
      <w:pPr>
        <w:pStyle w:val="TextBody"/>
        <w:bidi w:val="0"/>
        <w:spacing w:before="240" w:after="0"/>
        <w:jc w:val="left"/>
        <w:rPr/>
      </w:pPr>
      <w:r>
        <w:rPr/>
        <w:t>☐ </w:t>
      </w:r>
      <w:r>
        <w:rPr>
          <w:rFonts w:ascii="Times New Roman" w:hAnsi="Times New Roman"/>
          <w:sz w:val="20"/>
        </w:rPr>
        <w:t xml:space="preserve">To AEVA Technologies, Inc. or a subsidiary thereof; or </w:t>
      </w:r>
    </w:p>
    <w:p>
      <w:pPr>
        <w:pStyle w:val="TextBody"/>
        <w:bidi w:val="0"/>
        <w:spacing w:before="240" w:after="0"/>
        <w:jc w:val="left"/>
        <w:rPr/>
      </w:pPr>
      <w:r>
        <w:rPr/>
        <w:t>☐ </w:t>
      </w:r>
      <w:r>
        <w:rPr>
          <w:rFonts w:ascii="Times New Roman" w:hAnsi="Times New Roman"/>
          <w:sz w:val="20"/>
        </w:rPr>
        <w:t xml:space="preserve">Pursuant to a registration statement that has become or been declared effective under the Securities Act of 1933, as amended and that continues to be effective at the time of such transfer; or </w:t>
      </w:r>
    </w:p>
    <w:p>
      <w:pPr>
        <w:pStyle w:val="TextBody"/>
        <w:bidi w:val="0"/>
        <w:spacing w:before="240" w:after="0"/>
        <w:jc w:val="left"/>
        <w:rPr/>
      </w:pPr>
      <w:r>
        <w:rPr/>
        <w:t>☐ </w:t>
      </w:r>
      <w:r>
        <w:rPr>
          <w:rFonts w:ascii="Times New Roman" w:hAnsi="Times New Roman"/>
          <w:sz w:val="20"/>
        </w:rPr>
        <w:t xml:space="preserve">Pursuant to and in compliance with Rule 144A under the Securities Act of 1933, as amended; or </w:t>
      </w:r>
    </w:p>
    <w:p>
      <w:pPr>
        <w:pStyle w:val="TextBody"/>
        <w:bidi w:val="0"/>
        <w:spacing w:before="240" w:after="0"/>
        <w:jc w:val="left"/>
        <w:rPr/>
      </w:pPr>
      <w:r>
        <w:rPr/>
        <w:t>☐ </w:t>
      </w:r>
      <w:r>
        <w:rPr>
          <w:rFonts w:ascii="Times New Roman" w:hAnsi="Times New Roman"/>
          <w:sz w:val="20"/>
        </w:rPr>
        <w:t xml:space="preserve">Pursuant to and in compliance with Rule 144 under the Securities Act of 1933, as amended, or any other available exemption from the registration requirements of the Securities Act of 1933,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Dated:</w:t>
            </w:r>
            <w:r>
              <w:rPr>
                <w:u w:val="single"/>
              </w:rPr>
              <w:t>            </w:t>
            </w:r>
            <w:r>
              <w:rPr/>
              <w:t xml:space="preserve"> </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u w:val="single"/>
              </w:rPr>
            </w:pPr>
            <w:r>
              <w:rPr>
                <w:u w:val="single"/>
              </w:rPr>
              <w:t>                   </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u w:val="single"/>
              </w:rPr>
            </w:pPr>
            <w:r>
              <w:rPr>
                <w:u w:val="single"/>
              </w:rPr>
              <w:t>                   </w:t>
            </w:r>
          </w:p>
        </w:tc>
      </w:tr>
      <w:tr>
        <w:trPr/>
        <w:tc>
          <w:tcPr>
            <w:tcW w:w="10205" w:type="dxa"/>
            <w:tcBorders/>
          </w:tcPr>
          <w:p>
            <w:pPr>
              <w:pStyle w:val="TableContents"/>
              <w:bidi w:val="0"/>
              <w:spacing w:before="0" w:after="283"/>
              <w:jc w:val="left"/>
              <w:rPr/>
            </w:pPr>
            <w:r>
              <w:rPr/>
              <w:t>Signature(s)</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u w:val="single"/>
              </w:rPr>
            </w:pPr>
            <w:r>
              <w:rPr>
                <w:u w:val="single"/>
              </w:rPr>
              <w:t>                   </w:t>
            </w:r>
          </w:p>
        </w:tc>
      </w:tr>
      <w:tr>
        <w:trPr/>
        <w:tc>
          <w:tcPr>
            <w:tcW w:w="10205" w:type="dxa"/>
            <w:tcBorders/>
          </w:tcPr>
          <w:p>
            <w:pPr>
              <w:pStyle w:val="TableContents"/>
              <w:bidi w:val="0"/>
              <w:spacing w:before="0" w:after="283"/>
              <w:jc w:val="left"/>
              <w:rPr/>
            </w:pPr>
            <w:r>
              <w:rPr/>
              <w:t>Signature Guarantee</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Signature(s) must be guaranteed by an</w:t>
            </w:r>
          </w:p>
          <w:p>
            <w:pPr>
              <w:pStyle w:val="TableContents"/>
              <w:bidi w:val="0"/>
              <w:spacing w:before="0" w:after="0"/>
              <w:jc w:val="left"/>
              <w:rPr>
                <w:rFonts w:ascii="Times New Roman" w:hAnsi="Times New Roman"/>
                <w:sz w:val="20"/>
              </w:rPr>
            </w:pPr>
            <w:r>
              <w:rPr>
                <w:rFonts w:ascii="Times New Roman" w:hAnsi="Times New Roman"/>
                <w:sz w:val="20"/>
              </w:rPr>
              <w:t>eligible Guarantor Institution (banks, stock</w:t>
            </w:r>
          </w:p>
          <w:p>
            <w:pPr>
              <w:pStyle w:val="TableContents"/>
              <w:bidi w:val="0"/>
              <w:spacing w:before="0" w:after="0"/>
              <w:jc w:val="left"/>
              <w:rPr>
                <w:rFonts w:ascii="Times New Roman" w:hAnsi="Times New Roman"/>
                <w:sz w:val="20"/>
              </w:rPr>
            </w:pPr>
            <w:r>
              <w:rPr>
                <w:rFonts w:ascii="Times New Roman" w:hAnsi="Times New Roman"/>
                <w:sz w:val="20"/>
              </w:rPr>
              <w:t>brokers, savings and loan associations and</w:t>
            </w:r>
          </w:p>
          <w:p>
            <w:pPr>
              <w:pStyle w:val="TableContents"/>
              <w:bidi w:val="0"/>
              <w:spacing w:before="0" w:after="0"/>
              <w:jc w:val="left"/>
              <w:rPr>
                <w:rFonts w:ascii="Times New Roman" w:hAnsi="Times New Roman"/>
                <w:sz w:val="20"/>
              </w:rPr>
            </w:pPr>
            <w:r>
              <w:rPr>
                <w:rFonts w:ascii="Times New Roman" w:hAnsi="Times New Roman"/>
                <w:sz w:val="20"/>
              </w:rPr>
              <w:t>credit unions) with membership in an approved</w:t>
            </w:r>
          </w:p>
          <w:p>
            <w:pPr>
              <w:pStyle w:val="TableContents"/>
              <w:bidi w:val="0"/>
              <w:spacing w:before="0" w:after="0"/>
              <w:jc w:val="left"/>
              <w:rPr>
                <w:rFonts w:ascii="Times New Roman" w:hAnsi="Times New Roman"/>
                <w:sz w:val="20"/>
              </w:rPr>
            </w:pPr>
            <w:r>
              <w:rPr>
                <w:rFonts w:ascii="Times New Roman" w:hAnsi="Times New Roman"/>
                <w:sz w:val="20"/>
              </w:rPr>
              <w:t>signature guarantee medallion program pursuant</w:t>
            </w:r>
          </w:p>
          <w:p>
            <w:pPr>
              <w:pStyle w:val="TableContents"/>
              <w:bidi w:val="0"/>
              <w:spacing w:before="0" w:after="20"/>
              <w:jc w:val="left"/>
              <w:rPr>
                <w:rFonts w:ascii="Times New Roman" w:hAnsi="Times New Roman"/>
                <w:sz w:val="20"/>
              </w:rPr>
            </w:pPr>
            <w:r>
              <w:rPr>
                <w:rFonts w:ascii="Times New Roman" w:hAnsi="Times New Roman"/>
                <w:sz w:val="20"/>
              </w:rPr>
              <w:t>to Securities and Exchange Commission</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Rule 17Ad-15 if Notes are to be delivered, other</w:t>
            </w:r>
          </w:p>
          <w:p>
            <w:pPr>
              <w:pStyle w:val="TableContents"/>
              <w:bidi w:val="0"/>
              <w:spacing w:before="0" w:after="20"/>
              <w:jc w:val="left"/>
              <w:rPr>
                <w:rFonts w:ascii="Times New Roman" w:hAnsi="Times New Roman"/>
                <w:sz w:val="20"/>
              </w:rPr>
            </w:pPr>
            <w:r>
              <w:rPr>
                <w:rFonts w:ascii="Times New Roman" w:hAnsi="Times New Roman"/>
                <w:sz w:val="20"/>
              </w:rPr>
              <w:t>than to and in the name of the registered holder.</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NOTICE: The signature on the assignment must correspond with the name as written upon the face of the Note in every particular without alteration or enlargement or any change whatever.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149</Pages>
  <Words>64427</Words>
  <Characters>326327</Characters>
  <CharactersWithSpaces>392585</CharactersWithSpaces>
  <Paragraphs>3323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EX-4.1</dc:title>
</cp:coreProperties>
</file>