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Rezk Mina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AEVA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ELLIS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Aeva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AEVA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55"/>
        <w:gridCol w:w="432"/>
        <w:gridCol w:w="925"/>
        <w:gridCol w:w="1250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21.1644</w:t>
            </w:r>
            <w:r>
              <w:rPr/>
              <w:t xml:space="preserve"> 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1,537,527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1,706,669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upon vesting of certain time-based restricted stock unit awards to cover tax withholding obligations. These shares of common stock were automatically sold in a non-discretionary transaction to cover tax withholding obligations upon the settlement of certain time-based restricted stock unit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Mina Rezk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0177" TargetMode="External"/><Relationship Id="rId5" Type="http://schemas.openxmlformats.org/officeDocument/2006/relationships/hyperlink" Target="http://www.sec.gov/cgi-bin/browse-edgar?action=getcompany&amp;CIK=00017890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3365</Characters>
  <CharactersWithSpaces>3914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