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AEVA TECHNOLOGIES, INC.</w:t>
      </w:r>
    </w:p>
    <w:p>
      <w:pPr>
        <w:sectPr>
          <w:pgSz w:w="11900" w:h="16838" w:orient="portrait"/>
          <w:cols w:equalWidth="0" w:num="1">
            <w:col w:w="11240"/>
          </w:cols>
          <w:pgMar w:left="320" w:top="1249" w:right="339" w:bottom="1440" w:gutter="0" w:footer="0" w:header="0"/>
        </w:sectPr>
      </w:pPr>
    </w:p>
    <w:p>
      <w:pPr>
        <w:spacing w:after="0" w:line="2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555 Ellis Street</w:t>
      </w:r>
    </w:p>
    <w:p>
      <w:pPr>
        <w:spacing w:after="0" w:line="12"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Mountain View, CA</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84-3080757</w:t>
      </w:r>
    </w:p>
    <w:p>
      <w:pPr>
        <w:spacing w:after="0" w:line="2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94043</w:t>
      </w:r>
    </w:p>
    <w:p>
      <w:pPr>
        <w:spacing w:after="0" w:line="27" w:lineRule="exact"/>
        <w:rPr>
          <w:sz w:val="24"/>
          <w:szCs w:val="24"/>
          <w:color w:val="auto"/>
        </w:rPr>
      </w:pPr>
    </w:p>
    <w:p>
      <w:pPr>
        <w:sectPr>
          <w:pgSz w:w="11900" w:h="16838" w:orient="portrait"/>
          <w:cols w:equalWidth="0" w:num="2">
            <w:col w:w="7460" w:space="480"/>
            <w:col w:w="3300"/>
          </w:cols>
          <w:pgMar w:left="320" w:top="1249"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(650) 481-7070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68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ind w:right="80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$0.0001 par value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AEVA</w:t>
            </w: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tcPr>
          <w:p>
            <w:pPr>
              <w:jc w:val="center"/>
              <w:ind w:right="807"/>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4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708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p>
        </w:tc>
        <w:tc>
          <w:tcPr>
            <w:tcW w:w="416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1249" w:right="339" w:bottom="1440" w:gutter="0" w:footer="0" w:header="0"/>
          <w:type w:val="continuous"/>
        </w:sectPr>
      </w:pPr>
    </w:p>
    <w:p>
      <w:pPr>
        <w:spacing w:after="0" w:line="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10" w:lineRule="exact"/>
        <w:rPr>
          <w:sz w:val="24"/>
          <w:szCs w:val="24"/>
          <w:color w:val="auto"/>
        </w:rPr>
      </w:pPr>
    </w:p>
    <w:p>
      <w:pPr>
        <w:sectPr>
          <w:pgSz w:w="11900" w:h="16838" w:orient="portrait"/>
          <w:cols w:equalWidth="0" w:num="2">
            <w:col w:w="10740" w:space="280"/>
            <w:col w:w="220"/>
          </w:cols>
          <w:pgMar w:left="320" w:top="1249" w:right="339" w:bottom="1440" w:gutter="0" w:footer="0" w:header="0"/>
          <w:type w:val="continuous"/>
        </w:sect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2025, based on the closing price per share of its common stock on The Nasdaq Stock Market on such date was $1,197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10, 2026, was 62,947,689</w:t>
      </w:r>
      <w:r>
        <w:rPr>
          <w:rFonts w:ascii="Times New Roman" w:cs="Times New Roman" w:eastAsia="Times New Roman" w:hAnsi="Times New Roman"/>
          <w:sz w:val="14"/>
          <w:szCs w:val="14"/>
          <w:color w:val="0000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953770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28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460" w:type="dxa"/>
            <w:vAlign w:val="bottom"/>
            <w:gridSpan w:val="2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280" w:type="dxa"/>
            <w:vAlign w:val="bottom"/>
            <w:tcBorders>
              <w:top w:val="single" w:sz="8" w:color="0000FF"/>
            </w:tcBorders>
            <w:gridSpan w:val="21"/>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FF"/>
            </w:tcBorders>
            <w:gridSpan w:val="12"/>
          </w:tcPr>
          <w:p>
            <w:pPr>
              <w:spacing w:after="0"/>
              <w:rPr>
                <w:sz w:val="17"/>
                <w:szCs w:val="17"/>
                <w:color w:val="auto"/>
              </w:rPr>
            </w:pPr>
          </w:p>
        </w:tc>
        <w:tc>
          <w:tcPr>
            <w:tcW w:w="27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12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7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Form 10-K Summary</w:t>
            </w:r>
          </w:p>
        </w:tc>
        <w:tc>
          <w:tcPr>
            <w:tcW w:w="20" w:type="dxa"/>
            <w:vAlign w:val="bottom"/>
            <w:tcBorders>
              <w:top w:val="single" w:sz="8" w:color="0000FF"/>
              <w:bottom w:val="single" w:sz="8" w:color="0000EE"/>
            </w:tcBorders>
          </w:tcPr>
          <w:p>
            <w:pPr>
              <w:spacing w:after="0"/>
              <w:rPr>
                <w:sz w:val="17"/>
                <w:szCs w:val="17"/>
                <w:color w:val="auto"/>
              </w:rPr>
            </w:pPr>
          </w:p>
        </w:tc>
        <w:tc>
          <w:tcPr>
            <w:tcW w:w="1320" w:type="dxa"/>
            <w:vAlign w:val="bottom"/>
            <w:tcBorders>
              <w:top w:val="single" w:sz="8" w:color="0000FF"/>
            </w:tcBorders>
            <w:gridSpan w:val="6"/>
          </w:tcPr>
          <w:p>
            <w:pPr>
              <w:spacing w:after="0"/>
              <w:rPr>
                <w:sz w:val="17"/>
                <w:szCs w:val="17"/>
                <w:color w:val="auto"/>
              </w:rPr>
            </w:pPr>
          </w:p>
        </w:tc>
        <w:tc>
          <w:tcPr>
            <w:tcW w:w="632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“Securities Act”), and Section 21E of the Securities Exchange Act of 1934, as amended (the “Exchange Act”) regarding future events and our future results that are subject to the safe harbors created under the Securities Act and the Exchange Act.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“goal,” “plan,” “intend,” “expect,” “seek”, and similar expressions are intended to identify forward-looking statements. We have based these forward-looking statements largely on our current expectations and projections about future events and trends. These forward-looking statements are subject to a number of risks, uncertainties and assumptions, including our history of losses, and limited sales; the risk our programs are not fully developed and commercialized, or if such programs experience significant delays; our limited operating history; the risk that our strategic initiatives designed to grow our business, including our selection by a top European passenger original equipment manufacturer and our strategic collaboration with LG Innotek Co., Ltd., may not be successful or may prove more costly than we currently anticipate; the risk our products are not selected for inclusion in development programs for assisted driving systems (“ADAS”) or autonomous driving systems (“AD”), industrial automation, consumer device, robotics and security applications, or are not adopted by customers; the lengthy period of time from a design win to implementation, and the risks of cancellation or postponement of the contract or unsuccessful implementation; the risk our forward looking estimates of certain financial metrics, including but not limited to Order Book, may prove inaccurate; the risk that we may be unable to effectively manage our supply chain; the risk that the complexity of our products could result in unforeseen delays or expenses from undetected defects, errors or reliability issues in hardware or software which could reduce the market adoption of new products, damage our reputation with current or prospective customers, expose Aeva to product liability and other claims and adversely affect our operating costs; continued pricing pressures, automotive original equipment manufacturer (“OEM”) cost reduction initiatives and the ability of automotive OEMs to re-source or cancel vehicle or technology programs; the risks relating to incurring substantial R&amp;D costs and devoting significant resources to identifying and commercializing new products; uncertainty related to the market adoption of LiDAR, including Aeva’s 4D LiDAR technology; the risk our transition to an outsourced manufacturing business model may not be successful; risks related to product liability or warranty claims that could result in significant direct or indirect costs to us; the risk of our high dependence on the services of Soroush Salehian Dardashti and Mina Rezk, our two founders; the potential interruption or failure of our information technology and communication systems and cybersecurity risks to our operational systems, security systems, infrastructure, integrated software in our LiDAR solutions and those risks described under “Part I, Item 1A. Risk Factors,” and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20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w:t>
      </w:r>
    </w:p>
    <w:p>
      <w:pPr>
        <w:spacing w:after="0" w:line="1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“Aeva,” “we,” “us,” “our,” and “the Company” mean Aeva Technologies, Inc. and its subsidiaries unless the context indicates otherwise.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vision is to bring perception to broad applications. Through our Frequency Modulated Continuous Wave (“FMCW”) sensing technology, we believe we are introducing the world’s first 4D LiDAR-on-chip that, along with our proprietary software applications, have the potential to enable the adoption of LiDAR across broad applications.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Founded in 2017 by former Apple engineers Soroush Salehian and Mina Rezk and led by a multidisciplinary team of engineers and operators experienced in the field of sensing and perception, Aeva’s mission is to bring the next wave of perception technology to broad applications from automated driving, manufacturing automation and smart infrastructure, robotics and consumer devices. Our 4D LiDAR-on-chip combines silicon photonics technology that is proven in the telecom industry with precise instant velocity measurements and long-range performance for commercialization.</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Unlike legacy 3D LiDAR, which relies on Time-of-Flight (“ToF”) technology and measures only depth and reflectivity, Aeva’s solution leverages a proprietary FMCW technology to measure velocity in addition to depth, reflectivity and inertial motion. We believe the ability of Aeva’s solution to measure instant velocity for every pixel is a major advantage over ToF-based sensing solutions. Furthermore, Aeva’s technology is free from interference from other LiDAR or, the beams and sunlight, and our core innovations within FMCW are intended to enable vehicles to see at significantly higher distances of up to 500 meters.</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believe the advantages of our 4D LiDAR-on-chip allow us to provide the first LiDAR solution that is fully integrated onto a chip with superior performance at scale, with the potential to enable higher level of automation for vehicles and the potential to drive new categories of perception across industrial automation, consumer device applications, and security markets.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Overview</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With the world’s first LiDAR that is integrated onto a silicon photonics chip module, Aeva’s proprietary FMCW technology combines instant velocity measurement for each pixel, superior long-range performance, immunity from any LiDAR or sunlight interference, at low optical power.</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Aeva’s 4D LiDAR Technology</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Our 4D LiDAR technology is based on an approach that is fundamentally different from 3D ToF technology and traditional FMCW LiDAR technologies. Our technology differentiation is rooted in Aeva’s:</w:t>
      </w:r>
    </w:p>
    <w:p>
      <w:pPr>
        <w:spacing w:after="0" w:line="67" w:lineRule="exact"/>
        <w:rPr>
          <w:sz w:val="20"/>
          <w:szCs w:val="20"/>
          <w:color w:val="auto"/>
        </w:rPr>
      </w:pPr>
    </w:p>
    <w:p>
      <w:pPr>
        <w:ind w:left="1280" w:hanging="509"/>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FMCW design;</w:t>
      </w:r>
    </w:p>
    <w:p>
      <w:pPr>
        <w:spacing w:after="0" w:line="144"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silicon photonics technology;</w:t>
      </w:r>
    </w:p>
    <w:p>
      <w:pPr>
        <w:spacing w:after="0" w:line="130"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digital processing application-specific integrated circuit (“ASIC”); and</w:t>
      </w:r>
    </w:p>
    <w:p>
      <w:pPr>
        <w:spacing w:after="0" w:line="130"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4D Perception software.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Aeva’s Proprietary FMCW Design</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Unlike legacy 3D LiDAR, which relies on ToF technology to transmit high power pulses of light to measure an object’s range, Aeva’s 4D LiDAR uses a continuous, low power laser beam to measure the change in frequency of the waveform as it reflects off an object. This allows our 4D LiDAR to detect the instant velocity of every point with centimeters per second precision and measure range at distances up to 500 meters.</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Aeva’s 4D LiDAR is also free of interference from other LiDAR or sunlight and operates at fractions of the optical power that is typically required to achieve long range performance in 3D ToF systems.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19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believe that Aeva’s proprietary 4D LiDAR technology approach addresses some of the critical hurdles that have previously slowed the broad adoption of automotive LiDAR that is based on legacy 3D ToF technology:</w:t>
      </w:r>
    </w:p>
    <w:p>
      <w:pPr>
        <w:sectPr>
          <w:pgSz w:w="11900" w:h="16838" w:orient="portrait"/>
          <w:cols w:equalWidth="0" w:num="1">
            <w:col w:w="11220"/>
          </w:cols>
          <w:pgMar w:left="320" w:top="1440" w:right="35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Integration on silicon photonics enables compact form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of interference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 sensitivity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 dynamic range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sensitivity in inclement weather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Instantaneous measurement of velocity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Laser Safety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Integrating the key optical components of a LiDAR onto one small silicon photonics module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allows for a compact form factor for volume scale.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carrying a unique signature for each beam, our 4D LiDAR can block any source of power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does not carry the unique signature, rendering it free of interference from other LiDAR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sunlight.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Aeva’s 4D LiDAR is highly sensitive, which allows for long range performance up to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Aeva’s 4D LiDAR is not prone to noise effects observed in ToF technologies when measuring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highly reflective objects such as traffic signs on the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Aeva’s 4D LiDAR has the potential to perform better in inclement weather by taking advantage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continuous transmission of laser beams as opposed to short pulses in ToF LiDARs.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Aeva’s 4D LiDAR can directly measure the instantaneous velocity of every pixel by measuring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Doppler effects caused by the dynamic motion of objects.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a low power continuous beam, Aeva’s 4D LiDAR has better laser safety margins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 compared to ToF LiDAR approaches that require high power laser pulses.</w:t>
      </w:r>
    </w:p>
    <w:p>
      <w:pPr>
        <w:spacing w:after="0" w:line="200" w:lineRule="exact"/>
        <w:rPr>
          <w:sz w:val="20"/>
          <w:szCs w:val="20"/>
          <w:color w:val="auto"/>
        </w:rPr>
      </w:pPr>
    </w:p>
    <w:p>
      <w:pPr>
        <w:sectPr>
          <w:pgSz w:w="11900" w:h="16838" w:orient="portrait"/>
          <w:cols w:equalWidth="0" w:num="2">
            <w:col w:w="3920" w:space="400"/>
            <w:col w:w="6900"/>
          </w:cols>
          <w:pgMar w:left="320" w:top="1440" w:right="359" w:bottom="1440" w:gutter="0" w:footer="0" w:header="0"/>
          <w:type w:val="continuous"/>
        </w:sectPr>
      </w:pP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Aeva’s technology also differs from other FMCW LiDAR technologies across multiple areas:</w:t>
      </w:r>
    </w:p>
    <w:p>
      <w:pPr>
        <w:spacing w:after="0" w:line="127" w:lineRule="exact"/>
        <w:rPr>
          <w:sz w:val="20"/>
          <w:szCs w:val="20"/>
          <w:color w:val="auto"/>
        </w:rPr>
      </w:pPr>
    </w:p>
    <w:p>
      <w:pPr>
        <w:ind w:left="1280" w:right="180" w:hanging="509"/>
        <w:spacing w:after="0" w:line="26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Point density and maximum range: </w:t>
      </w:r>
      <w:r>
        <w:rPr>
          <w:rFonts w:ascii="Times New Roman" w:cs="Times New Roman" w:eastAsia="Times New Roman" w:hAnsi="Times New Roman"/>
          <w:sz w:val="18"/>
          <w:szCs w:val="18"/>
          <w:color w:val="auto"/>
        </w:rPr>
        <w:t>Aeva’s implementation of an innovative FMCW technology approach breaks the dependency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maximum range and point density, enabling long range capability at high resolutions simultaneously, which has been a critical limitation of other FMCW LiDAR technologies.</w:t>
      </w:r>
    </w:p>
    <w:p>
      <w:pPr>
        <w:spacing w:after="0" w:line="89" w:lineRule="exact"/>
        <w:rPr>
          <w:rFonts w:ascii="Times New Roman" w:cs="Times New Roman" w:eastAsia="Times New Roman" w:hAnsi="Times New Roman"/>
          <w:sz w:val="18"/>
          <w:szCs w:val="18"/>
          <w:color w:val="auto"/>
        </w:rPr>
      </w:pPr>
    </w:p>
    <w:p>
      <w:pPr>
        <w:ind w:left="1280" w:right="520" w:hanging="509"/>
        <w:spacing w:after="0" w:line="286"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Highly scalable laser solution: </w:t>
      </w:r>
      <w:r>
        <w:rPr>
          <w:rFonts w:ascii="Times New Roman" w:cs="Times New Roman" w:eastAsia="Times New Roman" w:hAnsi="Times New Roman"/>
          <w:sz w:val="18"/>
          <w:szCs w:val="18"/>
          <w:color w:val="auto"/>
        </w:rPr>
        <w:t>Aeva’s customized laser solution is fiber-less and based on scalable semiconductor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w:t>
      </w:r>
    </w:p>
    <w:p>
      <w:pPr>
        <w:spacing w:after="0" w:line="60" w:lineRule="exact"/>
        <w:rPr>
          <w:rFonts w:ascii="Times New Roman" w:cs="Times New Roman" w:eastAsia="Times New Roman" w:hAnsi="Times New Roman"/>
          <w:sz w:val="18"/>
          <w:szCs w:val="18"/>
          <w:color w:val="auto"/>
        </w:rPr>
      </w:pPr>
    </w:p>
    <w:p>
      <w:pPr>
        <w:ind w:left="1280" w:right="420" w:hanging="509"/>
        <w:spacing w:after="0" w:line="286"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 range performance: </w:t>
      </w:r>
      <w:r>
        <w:rPr>
          <w:rFonts w:ascii="Times New Roman" w:cs="Times New Roman" w:eastAsia="Times New Roman" w:hAnsi="Times New Roman"/>
          <w:sz w:val="18"/>
          <w:szCs w:val="18"/>
          <w:color w:val="auto"/>
        </w:rPr>
        <w:t>By leveraging our proprietary digital signal processing and our custom integrated photonics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Aeva’s technology is designed to achieve superior range performance up to 500 meters.</w:t>
      </w:r>
    </w:p>
    <w:p>
      <w:pPr>
        <w:spacing w:after="0" w:line="60" w:lineRule="exact"/>
        <w:rPr>
          <w:rFonts w:ascii="Times New Roman" w:cs="Times New Roman" w:eastAsia="Times New Roman" w:hAnsi="Times New Roman"/>
          <w:sz w:val="18"/>
          <w:szCs w:val="18"/>
          <w:color w:val="auto"/>
        </w:rPr>
      </w:pPr>
    </w:p>
    <w:p>
      <w:pPr>
        <w:ind w:left="1280" w:right="340" w:hanging="509"/>
        <w:spacing w:after="0" w:line="286"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 transceiver count: </w:t>
      </w:r>
      <w:r>
        <w:rPr>
          <w:rFonts w:ascii="Times New Roman" w:cs="Times New Roman" w:eastAsia="Times New Roman" w:hAnsi="Times New Roman"/>
          <w:sz w:val="18"/>
          <w:szCs w:val="18"/>
          <w:color w:val="auto"/>
        </w:rPr>
        <w:t>Aeva’s innovative FMCW technology approach allows for a low number of transceivers required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 resolution performance across the entire Field of View (“FOV”).</w:t>
      </w:r>
    </w:p>
    <w:p>
      <w:pPr>
        <w:spacing w:after="0" w:line="73" w:lineRule="exact"/>
        <w:rPr>
          <w:rFonts w:ascii="Times New Roman" w:cs="Times New Roman" w:eastAsia="Times New Roman" w:hAnsi="Times New Roman"/>
          <w:sz w:val="18"/>
          <w:szCs w:val="18"/>
          <w:color w:val="auto"/>
        </w:rPr>
      </w:pPr>
    </w:p>
    <w:p>
      <w:pPr>
        <w:ind w:left="1280" w:hanging="509"/>
        <w:spacing w:after="0" w:line="268"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Integrated photonics built on proven processes: </w:t>
      </w:r>
      <w:r>
        <w:rPr>
          <w:rFonts w:ascii="Times New Roman" w:cs="Times New Roman" w:eastAsia="Times New Roman" w:hAnsi="Times New Roman"/>
          <w:sz w:val="18"/>
          <w:szCs w:val="18"/>
          <w:color w:val="auto"/>
        </w:rPr>
        <w:t>Aeva’s 4D LiDAR leverages proven semiconductor components integrated on scalable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Complementary Metal Oxide Semiconductor (“CMOS”) based silicon photonics processes and does not rely on any exotic materials that are typically challenging to produce in volume.</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Integrated Silicon Photonics Technology</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Built on existing silicon CMOS and III-V technologies and semiconductor manufacturing processes, our solution measures depth, reflectivity and velocity for every pixel.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 w:name="page6"/>
    <w:bookmarkEnd w:id="5"/>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technologies in the field of integrated photonics have the potential to enable 4D LiDAR-on-chip for broad applications:</w:t>
      </w:r>
    </w:p>
    <w:p>
      <w:pPr>
        <w:spacing w:after="0" w:line="127" w:lineRule="exact"/>
        <w:rPr>
          <w:sz w:val="20"/>
          <w:szCs w:val="20"/>
          <w:color w:val="auto"/>
        </w:rPr>
      </w:pPr>
    </w:p>
    <w:p>
      <w:pPr>
        <w:ind w:left="1280" w:hanging="509"/>
        <w:spacing w:after="0" w:line="26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Transmitter: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Aeva uses its own proprietary semiconductor laser based on an existing low-cost III-V process already in production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applications. Our fiber-less laser solution is power efficient and designed for Aeva’s proprietary signal processing to provide long range performance.</w:t>
      </w:r>
    </w:p>
    <w:p>
      <w:pPr>
        <w:spacing w:after="0" w:line="89" w:lineRule="exact"/>
        <w:rPr>
          <w:rFonts w:ascii="Times New Roman" w:cs="Times New Roman" w:eastAsia="Times New Roman" w:hAnsi="Times New Roman"/>
          <w:sz w:val="18"/>
          <w:szCs w:val="18"/>
          <w:color w:val="auto"/>
        </w:rPr>
      </w:pPr>
    </w:p>
    <w:p>
      <w:pPr>
        <w:ind w:left="1280" w:right="520" w:hanging="509"/>
        <w:spacing w:after="0" w:line="26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Detector: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Aeva’s custom detector solution is based on existing and scalable semiconductor processes. Low cost photodetectors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on a silicon photonics platform without the use of any exotic materials that are not producible in volume or higher cost detectors used in other LiDARs such as single-photon avalanche diode (“SPAD”) and avalanche photodetectors.</w:t>
      </w:r>
    </w:p>
    <w:p>
      <w:pPr>
        <w:spacing w:after="0" w:line="76" w:lineRule="exact"/>
        <w:rPr>
          <w:rFonts w:ascii="Times New Roman" w:cs="Times New Roman" w:eastAsia="Times New Roman" w:hAnsi="Times New Roman"/>
          <w:sz w:val="18"/>
          <w:szCs w:val="18"/>
          <w:color w:val="auto"/>
        </w:rPr>
      </w:pPr>
    </w:p>
    <w:p>
      <w:pPr>
        <w:ind w:left="1280" w:right="540" w:hanging="509"/>
        <w:spacing w:after="0" w:line="286"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Silicon photonics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core optics of Aeva’s 4D LiDAR is made of silicon photonics technology that brings together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and mass-manufacturable optical sensing module in a compact form factor.</w:t>
      </w:r>
    </w:p>
    <w:p>
      <w:pPr>
        <w:spacing w:after="0" w:line="2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Custom Digital Signal Processing ASIC</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Aeva’s complex digital signal processing (“DSP”) algorithms have been designed and developed to process the returned optical signal to enable our 4D LiDAR to achieve superior performance across all detectable targets. The result of these DSP algorithms is a high fidelity point cloud of 4D data (3D position as {x,y,z} plus instantaneous velocity) for every pixel.</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custom design of DSP algorithms for Aeva’s ASIC is the result of extensive development and validation of real-world road data, spanning a variety of road types, geographic and environmental conditions over multiple years. Aeva’s proprietary DSP algorithms have been designed to provide the following benefits:</w:t>
      </w:r>
    </w:p>
    <w:p>
      <w:pPr>
        <w:spacing w:after="0" w:line="81" w:lineRule="exact"/>
        <w:rPr>
          <w:sz w:val="20"/>
          <w:szCs w:val="20"/>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Optimized detection algorithms custom developed for Aeva’s photonics solution enabling long range performance up to 500 meters;</w:t>
      </w:r>
    </w:p>
    <w:p>
      <w:pPr>
        <w:spacing w:after="0" w:line="144" w:lineRule="exact"/>
        <w:rPr>
          <w:rFonts w:ascii="Times New Roman" w:cs="Times New Roman" w:eastAsia="Times New Roman" w:hAnsi="Times New Roman"/>
          <w:sz w:val="18"/>
          <w:szCs w:val="18"/>
          <w:color w:val="auto"/>
        </w:rPr>
      </w:pPr>
    </w:p>
    <w:p>
      <w:pPr>
        <w:ind w:left="1280" w:right="640" w:hanging="509"/>
        <w:spacing w:after="0" w:line="28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point density at low processing power enabled by proprietary detection algorithms that accelerate computationally intensive processing;</w:t>
      </w:r>
    </w:p>
    <w:p>
      <w:pPr>
        <w:spacing w:after="0" w:line="6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range and velocity measurements for targets across the entire field of view;</w:t>
      </w:r>
    </w:p>
    <w:p>
      <w:pPr>
        <w:spacing w:after="0" w:line="130"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false alarm rates enables high confidence detections and reliable point cloud data; and</w:t>
      </w:r>
    </w:p>
    <w:p>
      <w:pPr>
        <w:spacing w:after="0" w:line="144"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perception software utilizing 4D point cloud data.</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believe our custom digital signal processing has the potential to enable a high-performance, low-power ASIC solution that can operate across a variety of environmental conditions while meeting the stringent automotive grade safety and security requirements for production.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4D Perception Software</w:t>
      </w:r>
    </w:p>
    <w:p>
      <w:pPr>
        <w:spacing w:after="0" w:line="119"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When combined with Aeva’s powerful perception software, our product allows for fast object detection and classification as well as precision tracking that is essential for a highly automated driving system. In addition, our vehicle state estimation software produces high quality vehicle dynamics and positioning information without the added inertial motion sensing hardware and software typically used in today’s vehicles.</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Object Detection</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With Aeva’s instantaneous velocity measurement per pixel, the complex task of finding moving objects, such as vehicles, pedestrians, and bicycles is not only made simple and precise but also fast. Whereas legacy 3D LiDAR systems require accumulating measurements over several samples to determine if an object 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moving, Aeva’s instantaneous velocity measurement per pixel allows the task of detecting moving objects to be executed on a single sample, reducing the reaction time and improving the overall safety of the system.</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Object Classification and Tracking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products can enhance our detection capabilities to track and classify dynamic detected objects using 4D LiDAR’s instant velocity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Vehicle State Estimation</w:t>
      </w:r>
    </w:p>
    <w:p>
      <w:pPr>
        <w:spacing w:after="0" w:line="11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Through the instantaneous measurement of velocity, Aeva’s 4D LiDAR can produce high quality estimates of vehicle positioning and dynamic properties, such as velocity, acceleration, and rate of turn. Whereas high quality vehicle state estimation can be obtained today with expensive hardware solutions, such as fiber optic based gyroscopes and high precision inertial motion sensors, Aeva’s 4D LiDAR as an edge device can provide high quality and precise estimates without the use of any additional hardware, thereby further reducing the requirements and costs of such additional hardware. These high quality estimates can be used to produce high fidelity 3D maps of the environment and inform the vehicle computer about the current dynamics state of the vehicle.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Ground Segmentation and Lane Detection</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With Aeva’s precise static pixel measurement, the task of estimating where the ground lies in front of the vehicle to determine drivable regions is straightforward. This information can be used by the vehicle to determine drivable regions and lane markings on the road.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products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provide perception solutions that enable our customers to see the world around them more clearly and in new ways. We believe that our products, based on Aeva’s proprietary 4D LiDAR technology have the potential to enable a diverse set of perception applications.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the following product offerings for different market applications: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229" w:lineRule="exact"/>
        <w:rPr>
          <w:sz w:val="20"/>
          <w:szCs w:val="20"/>
          <w:color w:val="auto"/>
        </w:rPr>
      </w:pPr>
    </w:p>
    <w:p>
      <w:pPr>
        <w:ind w:left="760" w:right="20" w:firstLine="509"/>
        <w:spacing w:after="0" w:line="255" w:lineRule="auto"/>
        <w:rPr>
          <w:sz w:val="20"/>
          <w:szCs w:val="20"/>
          <w:color w:val="auto"/>
        </w:rPr>
      </w:pPr>
      <w:r>
        <w:rPr>
          <w:rFonts w:ascii="Times New Roman" w:cs="Times New Roman" w:eastAsia="Times New Roman" w:hAnsi="Times New Roman"/>
          <w:sz w:val="18"/>
          <w:szCs w:val="18"/>
          <w:color w:val="222222"/>
        </w:rPr>
        <w:t>Aeva Atlas™ is a high-performance FMCW 4D LiDAR with simultaneous velocity and range detection up to 500 meters. Designed for mass production and built to meet automotive-grade requirements, Atlas is powered by Aeva’s custom silicon technology including our CoreVision™ LiDAR-on-chip module and the Aeva X1™ system-on-chip (SoC) LiDAR processor. Aeva Atlas™ Ultra is our newest 4D LiDAR sensor built to meet the performance demands of SAE Level 3 and 4 automated driving systems in passenger and commercial vehicles. Designed to enable safe travel at highway speeds, Atlas Ultra provides up to three times the resolution of the standard Atlas, and configurable field of views with up to 150 degrees of vision across the horizon. A 35% slimmer design than the standard Atlas is designed to make Atlas Ultra ideal for passenger cars in roofline and behind windshield integrations with minimal impact to vehicle styling and aerodynamics.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Industrial Automation</w:t>
      </w:r>
    </w:p>
    <w:p>
      <w:pPr>
        <w:spacing w:after="0" w:line="229" w:lineRule="exact"/>
        <w:rPr>
          <w:sz w:val="20"/>
          <w:szCs w:val="20"/>
          <w:color w:val="auto"/>
        </w:rPr>
      </w:pPr>
    </w:p>
    <w:p>
      <w:pPr>
        <w:jc w:val="both"/>
        <w:ind w:left="760" w:right="260" w:firstLine="509"/>
        <w:spacing w:after="0" w:line="272" w:lineRule="auto"/>
        <w:rPr>
          <w:sz w:val="20"/>
          <w:szCs w:val="20"/>
          <w:color w:val="auto"/>
        </w:rPr>
      </w:pPr>
      <w:r>
        <w:rPr>
          <w:rFonts w:ascii="Times New Roman" w:cs="Times New Roman" w:eastAsia="Times New Roman" w:hAnsi="Times New Roman"/>
          <w:sz w:val="17"/>
          <w:szCs w:val="17"/>
          <w:color w:val="222222"/>
        </w:rPr>
        <w:t>The Aeva Eve™ 1 line of high-precision laser displacement sensors, beginning with Eve 1D, is the first FMCW-based sensor for high-volume industrial automation. Eve 1D enables non-contact, micrometer-level measurements for factory and process automation. Powered by CoreVision™ LiDAR-on-chip modules built with silicon photonics, it overcomes limitations of traditional triangulation and time-of-flight</w:t>
      </w:r>
    </w:p>
    <w:tbl>
      <w:tblPr>
        <w:tblLayout w:type="fixed"/>
        <w:tblInd w:w="0" w:type="dxa"/>
        <w:tblCellMar>
          <w:top w:w="0" w:type="dxa"/>
          <w:left w:w="0" w:type="dxa"/>
          <w:bottom w:w="0" w:type="dxa"/>
          <w:right w:w="0" w:type="dxa"/>
        </w:tblCellMar>
      </w:tblPr>
      <w:tr>
        <w:trPr>
          <w:trHeight w:val="199"/>
        </w:trPr>
        <w:tc>
          <w:tcPr>
            <w:tcW w:w="5480" w:type="dxa"/>
            <w:vAlign w:val="bottom"/>
          </w:tcPr>
          <w:p>
            <w:pPr>
              <w:ind w:left="760"/>
              <w:spacing w:after="0" w:line="200" w:lineRule="exact"/>
              <w:rPr>
                <w:sz w:val="20"/>
                <w:szCs w:val="20"/>
                <w:color w:val="auto"/>
              </w:rPr>
            </w:pPr>
            <w:r>
              <w:rPr>
                <w:rFonts w:ascii="Times New Roman" w:cs="Times New Roman" w:eastAsia="Times New Roman" w:hAnsi="Times New Roman"/>
                <w:sz w:val="18"/>
                <w:szCs w:val="18"/>
                <w:color w:val="222222"/>
              </w:rPr>
              <w:t>sensors. FMCW technology ensures reliable performance across</w:t>
            </w:r>
          </w:p>
        </w:tc>
        <w:tc>
          <w:tcPr>
            <w:tcW w:w="5760" w:type="dxa"/>
            <w:vAlign w:val="bottom"/>
            <w:gridSpan w:val="2"/>
          </w:tcPr>
          <w:p>
            <w:pPr>
              <w:ind w:left="320"/>
              <w:spacing w:after="0" w:line="200" w:lineRule="exact"/>
              <w:rPr>
                <w:sz w:val="20"/>
                <w:szCs w:val="20"/>
                <w:color w:val="auto"/>
              </w:rPr>
            </w:pPr>
            <w:r>
              <w:rPr>
                <w:rFonts w:ascii="Times New Roman" w:cs="Times New Roman" w:eastAsia="Times New Roman" w:hAnsi="Times New Roman"/>
                <w:sz w:val="18"/>
                <w:szCs w:val="18"/>
                <w:color w:val="222222"/>
              </w:rPr>
              <w:t>materials, lighting conditions and stand-off distances in a compact, plug-</w:t>
            </w:r>
          </w:p>
        </w:tc>
      </w:tr>
      <w:tr>
        <w:trPr>
          <w:trHeight w:val="216"/>
        </w:trPr>
        <w:tc>
          <w:tcPr>
            <w:tcW w:w="96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222222"/>
              </w:rPr>
              <w:t>and-play design. Aeva  Eve™ 1V is a high-precision, non-contact motion sensor designed to transform industrial speed,</w:t>
            </w:r>
          </w:p>
        </w:tc>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222222"/>
              </w:rPr>
              <w:t>length, and position</w:t>
            </w:r>
          </w:p>
        </w:tc>
      </w:tr>
      <w:tr>
        <w:trPr>
          <w:trHeight w:val="234"/>
        </w:trPr>
        <w:tc>
          <w:tcPr>
            <w:tcW w:w="96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222222"/>
              </w:rPr>
              <w:t>measurement. Eve 1V delivers highly accurate, repeatable motion data</w:t>
            </w:r>
          </w:p>
        </w:tc>
        <w:tc>
          <w:tcPr>
            <w:tcW w:w="1620" w:type="dxa"/>
            <w:vAlign w:val="bottom"/>
          </w:tcPr>
          <w:p>
            <w:pPr>
              <w:spacing w:after="0"/>
              <w:rPr>
                <w:sz w:val="20"/>
                <w:szCs w:val="20"/>
                <w:color w:val="auto"/>
              </w:rPr>
            </w:pPr>
          </w:p>
        </w:tc>
      </w:tr>
      <w:tr>
        <w:trPr>
          <w:trHeight w:val="648"/>
        </w:trPr>
        <w:tc>
          <w:tcPr>
            <w:tcW w:w="5480" w:type="dxa"/>
            <w:vAlign w:val="bottom"/>
          </w:tcPr>
          <w:p>
            <w:pPr>
              <w:spacing w:after="0"/>
              <w:rPr>
                <w:sz w:val="24"/>
                <w:szCs w:val="24"/>
                <w:color w:val="auto"/>
              </w:rPr>
            </w:pPr>
          </w:p>
        </w:tc>
        <w:tc>
          <w:tcPr>
            <w:tcW w:w="4140" w:type="dxa"/>
            <w:vAlign w:val="bottom"/>
          </w:tcPr>
          <w:p>
            <w:pPr>
              <w:jc w:val="right"/>
              <w:ind w:right="3870"/>
              <w:spacing w:after="0"/>
              <w:rPr>
                <w:sz w:val="20"/>
                <w:szCs w:val="20"/>
                <w:color w:val="auto"/>
              </w:rPr>
            </w:pPr>
            <w:r>
              <w:rPr>
                <w:rFonts w:ascii="Times New Roman" w:cs="Times New Roman" w:eastAsia="Times New Roman" w:hAnsi="Times New Roman"/>
                <w:sz w:val="18"/>
                <w:szCs w:val="18"/>
                <w:color w:val="auto"/>
              </w:rPr>
              <w:t>6</w:t>
            </w:r>
          </w:p>
        </w:tc>
        <w:tc>
          <w:tcPr>
            <w:tcW w:w="1620" w:type="dxa"/>
            <w:vAlign w:val="bottom"/>
          </w:tcPr>
          <w:p>
            <w:pPr>
              <w:spacing w:after="0"/>
              <w:rPr>
                <w:sz w:val="24"/>
                <w:szCs w:val="24"/>
                <w:color w:val="auto"/>
              </w:rPr>
            </w:pPr>
          </w:p>
        </w:tc>
      </w:tr>
      <w:tr>
        <w:trPr>
          <w:trHeight w:val="763"/>
        </w:trPr>
        <w:tc>
          <w:tcPr>
            <w:tcW w:w="548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ind w:left="760" w:right="40"/>
        <w:spacing w:after="0" w:line="266" w:lineRule="auto"/>
        <w:rPr>
          <w:sz w:val="20"/>
          <w:szCs w:val="20"/>
          <w:color w:val="auto"/>
        </w:rPr>
      </w:pPr>
      <w:r>
        <w:rPr>
          <w:rFonts w:ascii="Times New Roman" w:cs="Times New Roman" w:eastAsia="Times New Roman" w:hAnsi="Times New Roman"/>
          <w:sz w:val="18"/>
          <w:szCs w:val="18"/>
          <w:color w:val="222222"/>
        </w:rPr>
        <w:t>without touching materials, eliminating wear and slippage common in traditional encoders and tactile systems, while improving throughput and quality control. Featuring compact, rugged housing and eye-safe Class 1 laser, Eve 1V enables easy integration into existing production lines, offering manufacturers a scalable, reliable alternative to conventional motion sensors.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Smart Infrastructure</w:t>
      </w:r>
    </w:p>
    <w:p>
      <w:pPr>
        <w:spacing w:after="0" w:line="229" w:lineRule="exact"/>
        <w:rPr>
          <w:sz w:val="20"/>
          <w:szCs w:val="20"/>
          <w:color w:val="auto"/>
        </w:rPr>
      </w:pPr>
    </w:p>
    <w:p>
      <w:pPr>
        <w:ind w:left="760" w:right="100" w:firstLine="509"/>
        <w:spacing w:after="0" w:line="258" w:lineRule="auto"/>
        <w:rPr>
          <w:sz w:val="20"/>
          <w:szCs w:val="20"/>
          <w:color w:val="auto"/>
        </w:rPr>
      </w:pPr>
      <w:r>
        <w:rPr>
          <w:rFonts w:ascii="Times New Roman" w:cs="Times New Roman" w:eastAsia="Times New Roman" w:hAnsi="Times New Roman"/>
          <w:sz w:val="18"/>
          <w:szCs w:val="18"/>
          <w:color w:val="222222"/>
        </w:rPr>
        <w:t>Aeva Atlas™ Orion is a high-performance 4D LiDAR sensor designed for smart infrastructure, intelligent transportation systems and security applications that meets NEMA-TS2 (National Electrical Manufacturers Association traffic standards) and offers durable, long-range perception for outdoor environments. Using our FMCW 4D LiDAR and Ultra Resolution™ technologies, Atlas Orion simultaneously measures velocity and position, detecting vehicles up to 500 meters and vulnerable road users up to 200 meters. Its single-box PoE++ design enables fast, cost-efficient deployment, supporting smarter, safer cities, airports, and secure facilities.</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solutions are generally expected to be incorporated into final products, such as automobiles, industrial equipment, consumer device applications and security. We expect that, after a rigorous, multi-year product design and engineering validation process, customers would select our solutions to be designed into specific final product models, and our solutions would be sold at agreed rates per unit for the customer’s product programs.</w:t>
      </w:r>
    </w:p>
    <w:p>
      <w:pPr>
        <w:spacing w:after="0" w:line="17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Within the automotive sector, we expect our 4D LiDAR solution to be integrated into the vehicle as part of the vehicle integration and production processes to provide perception sensing capability as part of the vehicle’s overall autonomous driving stack. We expect our 4D LiDAR solutions to be compatible for integration into passenger vehicles, trucks and new mobility vehicle platforms, and we are engaged with customers in each of these categories for the potential integration of our solutions into such vehicle platforms.</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Within industrial applications, we expect our 4D LiDAR solution would be incorporated as part of an industrial automation platform solution (such as industrial metrology products or cargo moving robots used for industrial automation). Within security applications, we expect our 4D LiDAR solution would be incorporated as part of security monitoring systems that may use other sensing and computer electronics systems. We expect to leverage the synergies of our supply chain and manufacturing counterparties within automotive applications to sell our solutions directly to industrial automation companies that develop manufacturing automation solutions for other industrial companies and to manufacture and distribute our products using our existing manufacturing counterparties.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innovative products can improve safety, reduce development effort of perception software and reduce costs of automated driving systems. In addition, we believe that our solutions have the potential to address perception problems across a broad set of market applications, including the automotive, consumer devices, industrial automation, and security markets.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automotive industry is undergoing a transformative change towards advanced levels of automation in driver assistance systems and autonomy that is driven by fundamental shifts in consumer behavior as well as an industry response to environmental, social and governance (“ESG”) initiatives. Rising safety and security concerns, increasing demand for a more reliable transportation system, and transition from car ownership to “Mobility as a Service”, are expected to also increase the demand for advanced driver assistance systems and autonomous vehicles.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Advanced driver-assistance systems — Level 1 and Level 2</w:t>
      </w:r>
    </w:p>
    <w:p>
      <w:pPr>
        <w:spacing w:after="0" w:line="115" w:lineRule="exact"/>
        <w:rPr>
          <w:sz w:val="20"/>
          <w:szCs w:val="20"/>
          <w:color w:val="auto"/>
        </w:rPr>
      </w:pPr>
    </w:p>
    <w:p>
      <w:pPr>
        <w:jc w:val="both"/>
        <w:ind w:right="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Passenger cars</w:t>
      </w:r>
      <w:r>
        <w:rPr>
          <w:rFonts w:ascii="Times New Roman" w:cs="Times New Roman" w:eastAsia="Times New Roman" w:hAnsi="Times New Roman"/>
          <w:sz w:val="18"/>
          <w:szCs w:val="18"/>
          <w:color w:val="auto"/>
        </w:rPr>
        <w:t>. Growth in population, urbanization, and rising disposable income have driven higher demand for passenger cars. The autonomous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passenger car industry is expected to see steady growth as consumer behavior continues to evolve. Currently, Level 1 passenger vehicles still account for a majority of</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global autonomous passenger vehicles market, but automotive OEMs are collaborating with technology providers to provide Level 2 ADAS systems for passenger cars.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Autonomous driving — Level 3, Level 4 and Level 5</w:t>
      </w:r>
    </w:p>
    <w:p>
      <w:pPr>
        <w:spacing w:after="0" w:line="115"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Autonomous trucking. </w:t>
      </w:r>
      <w:r>
        <w:rPr>
          <w:rFonts w:ascii="Times New Roman" w:cs="Times New Roman" w:eastAsia="Times New Roman" w:hAnsi="Times New Roman"/>
          <w:sz w:val="18"/>
          <w:szCs w:val="18"/>
          <w:color w:val="auto"/>
        </w:rPr>
        <w:t>The autonomous trucking industry is expected to grow, with North America currently the largest market,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geographies such as Europe and Asia still in the early stages of adoption. Growing demand from the logistics and construction sectors and growth from other industrial sectors have contributed to the expansion of the autonomous trucking industry. Additionally, more stringent government rules and safety considerations have also generated demand for automated driving technology in this sector. Many truck OEMs are partnering with autonomous driving technology manufacturing companies to produce autonomous truck systems. Suppliers of top truck OEMs have also collaborated with several technology companies to develop autonomous systems.</w:t>
      </w:r>
    </w:p>
    <w:p>
      <w:pPr>
        <w:spacing w:after="0" w:line="18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believe the autonomous trucking industry has the potential to rely heavily on high performance long range LiDAR sensing solutions for the detection of objects at long distance in order to provide safe braking distance and otherwise achieve safe automated driving functionality on the highway. We believe Aeva 4D LiDAR’s long range and fast detection capability can position us to provide attractive solutions for this market.</w:t>
      </w:r>
    </w:p>
    <w:p>
      <w:pPr>
        <w:spacing w:after="0" w:line="172"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Passenger cars. </w:t>
      </w:r>
      <w:r>
        <w:rPr>
          <w:rFonts w:ascii="Times New Roman" w:cs="Times New Roman" w:eastAsia="Times New Roman" w:hAnsi="Times New Roman"/>
          <w:sz w:val="18"/>
          <w:szCs w:val="18"/>
          <w:color w:val="auto"/>
        </w:rPr>
        <w:t>We expect the transition to Level 3, Level 4 and eventually Level 5 vehicles to be a significant factor for the growth of LiDAR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and our solutions. Autonomous passenger cars depend on several types of automotive sensors such as camera, radar, and LiDARs, along with comprehensive software technology solutions to provide automated driving function such as highway automation and urban self-driving functionality. We believe automotive OEMs and Tier 1s will continue to partner with the most advanced technology companies to implement the best sensing perception systems that enable safe automated driving function at production scale. In addition, in December 2025, we were selected by a top European passenger original equipment manufacturer as its exclusive LiDAR supplier for its global series-production vehicle platform to enable Level 3 automated driving.</w:t>
      </w:r>
    </w:p>
    <w:p>
      <w:pPr>
        <w:spacing w:after="0" w:line="182"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mobility. </w:t>
      </w:r>
      <w:r>
        <w:rPr>
          <w:rFonts w:ascii="Times New Roman" w:cs="Times New Roman" w:eastAsia="Times New Roman" w:hAnsi="Times New Roman"/>
          <w:sz w:val="18"/>
          <w:szCs w:val="18"/>
          <w:color w:val="auto"/>
        </w:rPr>
        <w:t>Over the past several years, a number of emerging mobility and technology players have entered into the autonomous driving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vision to develop fully autonomous vehicles. This segment has experienced substantial investments in research and development in anticipation of the roll-out of driverless mobility services to consumers. Some players have focused their research and development efforts on developing Level 4 and Level 5 robo-taxis for the delivery of people and goods. Additionally, autonomous technology providers collaborate with automotive OEMs and Tier 1 component providers to develop autonomous vehicles.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Industrial automation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manually intensive tasks become more automated, we believe the opportunity for our sensing solutions in industrial workplaces has the potential to expand. Aeva’s 4D LiDAR technology has the potential to offer robots, industrial metrology machines and other automation equipment a way to perceive their surroundings in a more clear, accurate and cost-effective manner.</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growth of automation poses numerous benefits for industrial applications, including increased efficiency, lower labor costs, and enabling workers to allocate their time to more productive tasks. We believe that some of the same benefits that our 4D LiDAR technology provides for automotive safety applications are beneficial for increasing safety and improving production efficiencies in industrial manufacturing and factory automation environments.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Given the emerging nature of the automated driving industry and other industries where LiDAR solutions are applicable, there are a number of companies developing LiDAR technologies for automotive, industrial and other applications, including companies developing ToF LiDAR solutions and other FMCW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LiDAR solutions that may be similar to ours. In addition, certain automotive players may have their own internal LiDAR development programs. We believe a significant portion of these other companies are developing legacy 3D LiDAR systems, all of which utilize some variant of ToF technology architectures which we believe have certain limitations in performance, or require high power or are high cost.</w:t>
      </w:r>
    </w:p>
    <w:p>
      <w:pPr>
        <w:spacing w:after="0" w:line="17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There may be new companies that are independently developing FMCW LiDAR solutions that may be similar to ours. However, we believe that our innovative product design, substantial real world collected road data, intellectual property portfolio together with a strong engineering and operations team provide us with certain advantages.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 and Customers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Thus far, we have generally entered into strategic partnership agreements, development agreements and similar agreements with customers in automotive and industrial markets. Pursuant to these agreements, we have sold or otherwise provided product prototypes and non-recurring engineering services for the purpose of research and development and testing of our customers’ development programs. Since our inception, these types of arrangements have accounted for nearly all of our revenues. However, there can be no assurance that any of our customers’ development programs will ever be developed and commercialized, and even to the extent they are, there can be no assurance that we will receive production purchase orders from our customers.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success and competitive advantage depends in part upon our ability to develop and protect our core technology and intellectual property. We own a growing portfolio of intellectual property, confidential technical information, and expertise in the development of LiDAR technology, coherent sensing, integrated silicon photonics, algorithms and software.</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filed patent and trademark applications in order to further secure these rights and strengthen our ability to defend against third parties who may infringe on our rights. The applications cover a broad range of system level and component level aspects of LiDAR technology.</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296 issued patents and 127 pending patent applications worldwide. In addition, we have a number of issued and pending trademarks applications. Our patent applications cover a broad range of system level hardware and component level aspects of our key technologies including, among other things, FMCW LiDAR system, integrated photonics, laser solutions and perception software technology.</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also rely on trade secrets, experiences, design and manufacturing know-how, continuing technological innovations, and licensing and exclusivity opportunities to maintain and improve our competitive position. Additionally, we protect our proprietary rights through agreements with our commercial partners, supply-chain vendors, employees and consultants, as well as close monitoring of the developments and products in the industry.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Process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Since inception, we have entered into arrangements with third-party manufacturers to develop and manufacture our products for our customers’ development programs. We intend to continue to rely on third-party manufacturers, to commercialize our products for automotive grade production.</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development agreements, memorandums of understanding and similar agreements with third-party manufacturers that typically include collaborations to develop, assemble, test and distribute our automotive grade 4D LiDAR system to OEMs and automotive customers for their vehicle programs. For example, in May 2025, we entered into a strategic collaboration with LG Innotek Co., Ltd. We intend to utilize our production counterparties’ capabilities for the final assembly and test of our products and to produce our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at global manufacturing plants to provide our 4D LiDAR system, including our 4D LiDAR-on-chip, to our customers.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markets in which Aeva competes are new and rapidly evolving across hardware and software applications. We invest significant resources into ongoing research and development programs because we believe our ability to grow our market position depends, in part, on innovative technologies that offer a unique value proposition for our customers and differentiation from our competitors.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occur primarily in the United States and India. Our research and development team is responsible for developing our 4D LiDAR technology, creating new technologies and expanding our LiDAR and perception software solutions’ functionality. The team also designs our 4D LiDAR products, ensures these products are designed for manufacturability and conducts required validation and verification activities. The research and development team also partners with our operations and supply chain teams with the goal of developing scalable commercial and reliable manufacturing processes and direct production material procurement and distribution. Our team consists of engineers, technicians, scientists, operators and professionals with experience from a wide variety of the world’s leading sensing, engineering, consumer electronics and automotive organizations.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take an insight-driven, account-based marketing approach to build and expand our relationships with customers and commercial counterparties.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collect feedback directly from our commercial counterparties to garner insights that help drive our business and products forward.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As the cars that carry our sensors go into production, we will be subject to existing stringent requirements under the National Traffic and Motor Vehicle Safety Act of 1966, or the Vehicle Safety Act, including a duty to report, subject to strict timing requirements, safety defects with our products. The Vehicle Safety Act imposes potentially significant civil penalties for violations including the failure to comply with such reporting requirements. We are also subject to the existing U.S. Transportation Recall Enhancement, Accountability and Documentation Act, or TREAD, which requires equipment manufacturers, such as us, to comply with “Early Warning” requirements by reporting certain information to the National Highway Traffic Safety Administration (“NHTSA”), such as information related to defects or reports of injury related to our products. TREAD imposes criminal liability for violating such requirements if a defect subsequently causes death or bodily injury. In addition, the National Traffic and Motor Vehicle Safety Act authorizes NHTSA to require a manufacturer to recall and repair vehicles that contain safety defects or fail to comply with U.S. federal motor vehicle safety standards. Sales into foreign countries may be subject to similar regulations. As the development of federal and state regulation of autonomous machines and vehicles continues to evolve, we may be subject to additional regulatory schemes.</w:t>
      </w:r>
    </w:p>
    <w:p>
      <w:pPr>
        <w:spacing w:after="0" w:line="19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As a LiDAR technology company, we are subject to the Electronic Product Radiation Control Provisions of the Federal Food, Drug, and Cosmetic Act and related Food and Drug Administration (“FDA”) regulations. These requirements are enforced by the FDA. Electronic product radiation includes laser technology. Regulations governing these products are intended to protect individuals from hazardous or unnecessary exposure. Manufacturers are required to certify in product labeling and reports to the FDA that their products comply with applicable performance standards as well as maintain manufacturing, testing, and distribution records for their products.</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Like all companies operating in similar industries, we are subject to environmental regulation, including water use; air emissions; use of recycled materials; energy sources; the storage, handling, treatment, transportation and disposal of hazardous materials; and the remediation of environmental contamination. Compliance with these rules may include permits, licenses and inspections of our facilities and products.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Aeva may be involved in actions, claims, suits and other proceedings in the ordinary course of business, including assertions by third parties relating to intellectual property infringement, breaches of contract or warranties or employment-related matters. When it is both probable that a liability has been incurred and the amount of the loss can be reasonably estimated, we record a liability for such loss contingencies. 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any such claims may not always be predictive of the outcome and actual results may vary from our current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employees are critical to our success. As of December 31, 2025, we had 239 full-time employees based primarily in Mountain View, California. We also engage numerous consultants and contractors to supplement our permanent workforce. A majority of our employees are engaged in research and development and related functions. To date, we have not experienced any work stoppages and consider our relationship with our employees to be in good standing. None of our employees are subject to a collective bargaining agreement or represented by a labor union.</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recognize that attracting, hiring, motivating, and retaining diverse talent at all levels is vital to continuing our success.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the best of their abilities and achieve our objectives. We believe that compensation should not only be competitive, it should be equitable and should enable employees to share in the Company’s success as stockholders of the Company. By continuing to foster an engaging work environment and focus on continued improvements to employee retention, we improve our ability to support and protect Aeva’s long-term interests. The Company recognizes our people are most likely to thrive when they have the resources to meet their needs and the time and support to succeed in their professional and personal lives.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555 Ellis Street, Mountain View, CA 94043, and our telephone number is (650) 481-7070. Aeva is our registered trademark in the United States and in various international jurisdictions. Aeva, the Aeva logo and all of our product names appearing in this report are our trademarks. Other trademarks appearing in this report are the property of their respective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make our Annual Reports on Form 10-K, Quarterly Reports on Form 10-Q, Current Reports on Form 8-K, and amendments to those reports, available free of charge at our website as soon as reasonably practicable after they have been filed with the SEC. Our website address is https://www.aeva.com. The information contained on, or that can be accessed through, our website is not part of this report. The SEC maintains a website that contains the materials we file with the SEC at www.sec.gov.</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Our operating and financial results are subject to various risks and uncertainties. You should carefully consider the following risk factors, which could materially affect our business, financial condition or results of operations in future periods. These risks are not the only risks we face. Additional risks and uncertainties not currently known to us or that we currently deem to be immaterial also may materially adversely affect our business, financial condition or results of operations in future periods.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Principal Risk Factors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These risks include, among others:</w:t>
      </w:r>
    </w:p>
    <w:p>
      <w:pPr>
        <w:spacing w:after="0" w:line="54" w:lineRule="exact"/>
        <w:rPr>
          <w:sz w:val="20"/>
          <w:szCs w:val="20"/>
          <w:color w:val="auto"/>
        </w:rPr>
      </w:pPr>
    </w:p>
    <w:p>
      <w:pPr>
        <w:ind w:left="520" w:right="80" w:hanging="512"/>
        <w:spacing w:after="0" w:line="261"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an early stage company, with a history of losses, and have primarily sold or otherwise provided prototypes and non-recurring engineering services to customers for the purpose of R&amp;D and testing of such customers’ development programs. If such programs are not fully developed and commercialized, or if such programs experience significant delays, Aeva’s business, financial condition and results of operations will be materially adversely affected and we may never achieve or sustain profitability.</w:t>
      </w:r>
    </w:p>
    <w:p>
      <w:pPr>
        <w:spacing w:after="0" w:line="71"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Aeva’s limited operating history makes it difficult to evaluate our future prospects and the risks and challenges we may encounter.</w:t>
      </w:r>
    </w:p>
    <w:p>
      <w:pPr>
        <w:spacing w:after="0" w:line="117"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Aeva’s strategic initiatives designed to grow the business may not be successful or may prove more costly than we currently anticipate.</w:t>
      </w:r>
    </w:p>
    <w:p>
      <w:pPr>
        <w:spacing w:after="0" w:line="117" w:lineRule="exact"/>
        <w:rPr>
          <w:rFonts w:ascii="Times New Roman" w:cs="Times New Roman" w:eastAsia="Times New Roman" w:hAnsi="Times New Roman"/>
          <w:sz w:val="16"/>
          <w:szCs w:val="16"/>
          <w:color w:val="auto"/>
        </w:rPr>
      </w:pPr>
    </w:p>
    <w:p>
      <w:pPr>
        <w:ind w:left="520" w:right="80" w:hanging="512"/>
        <w:spacing w:after="0" w:line="282"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Aeva’s products are not selected for inclusion in development programs for ADAS or AD, or are not adopted by customers, Aeva’s business will be materially and adversely affected.</w:t>
      </w:r>
    </w:p>
    <w:p>
      <w:pPr>
        <w:spacing w:after="0" w:line="53" w:lineRule="exact"/>
        <w:rPr>
          <w:rFonts w:ascii="Times New Roman" w:cs="Times New Roman" w:eastAsia="Times New Roman" w:hAnsi="Times New Roman"/>
          <w:sz w:val="16"/>
          <w:szCs w:val="16"/>
          <w:color w:val="auto"/>
        </w:rPr>
      </w:pPr>
    </w:p>
    <w:p>
      <w:pPr>
        <w:ind w:left="520" w:hanging="512"/>
        <w:spacing w:after="0" w:line="282"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period of time from a design win to implementation is long, potentially spanning several years, and we are subject to the risks of cancellation or postponement of the contract or unsuccessful implementation.</w:t>
      </w:r>
    </w:p>
    <w:p>
      <w:pPr>
        <w:spacing w:after="0" w:line="53"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forward looking estimates of certain financial metrics may prove inaccurate.</w:t>
      </w:r>
    </w:p>
    <w:p>
      <w:pPr>
        <w:spacing w:after="0" w:line="117"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we are unable to effectively manage our supply chain, our business may be materially and adversely impacted.</w:t>
      </w:r>
    </w:p>
    <w:p>
      <w:pPr>
        <w:spacing w:after="0" w:line="117" w:lineRule="exact"/>
        <w:rPr>
          <w:rFonts w:ascii="Times New Roman" w:cs="Times New Roman" w:eastAsia="Times New Roman" w:hAnsi="Times New Roman"/>
          <w:sz w:val="16"/>
          <w:szCs w:val="16"/>
          <w:color w:val="auto"/>
        </w:rPr>
      </w:pPr>
    </w:p>
    <w:p>
      <w:pPr>
        <w:ind w:left="520" w:right="40" w:hanging="512"/>
        <w:spacing w:after="0" w:line="266"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complexity of Aeva’s products could result in unforeseen delays or expenses from undetected defects, errors or reliability issues in hardware or software which could reduce the market adoption of new products, damage our reputation with current or prospective customers, expose Aeva to product liability and other claims and adversely affect our operating costs.</w:t>
      </w:r>
    </w:p>
    <w:p>
      <w:pPr>
        <w:spacing w:after="0" w:line="67" w:lineRule="exact"/>
        <w:rPr>
          <w:rFonts w:ascii="Times New Roman" w:cs="Times New Roman" w:eastAsia="Times New Roman" w:hAnsi="Times New Roman"/>
          <w:sz w:val="16"/>
          <w:szCs w:val="16"/>
          <w:color w:val="auto"/>
        </w:rPr>
      </w:pPr>
    </w:p>
    <w:p>
      <w:pPr>
        <w:ind w:left="520" w:right="500" w:hanging="512"/>
        <w:spacing w:after="0" w:line="282"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Continued pricing pressures, automotive OEM cost reduction initiatives and the ability of automotive OEMs to re-source or cancel vehicle or technology programs may result in lower than anticipated margins, or losses, which may adversely affect Aeva’s business.</w:t>
      </w:r>
    </w:p>
    <w:p>
      <w:pPr>
        <w:spacing w:after="0" w:line="53" w:lineRule="exact"/>
        <w:rPr>
          <w:rFonts w:ascii="Times New Roman" w:cs="Times New Roman" w:eastAsia="Times New Roman" w:hAnsi="Times New Roman"/>
          <w:sz w:val="16"/>
          <w:szCs w:val="16"/>
          <w:color w:val="auto"/>
        </w:rPr>
      </w:pPr>
    </w:p>
    <w:p>
      <w:pPr>
        <w:ind w:left="520" w:right="540" w:hanging="512"/>
        <w:spacing w:after="0" w:line="282"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Aeva expects to incur substantial R&amp;D costs and devote significant resources to identifying and commercializing new products, which could significantly reduce our profitability or increase our losses and may never result in revenue to Aeva.</w:t>
      </w:r>
    </w:p>
    <w:p>
      <w:pPr>
        <w:spacing w:after="0" w:line="53"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Market adoption of LiDAR, including Aeva’s 4D LiDAR technology, is uncertain.</w:t>
      </w:r>
    </w:p>
    <w:p>
      <w:pPr>
        <w:spacing w:after="0" w:line="117" w:lineRule="exact"/>
        <w:rPr>
          <w:rFonts w:ascii="Times New Roman" w:cs="Times New Roman" w:eastAsia="Times New Roman" w:hAnsi="Times New Roman"/>
          <w:sz w:val="16"/>
          <w:szCs w:val="16"/>
          <w:color w:val="auto"/>
        </w:rPr>
      </w:pPr>
    </w:p>
    <w:p>
      <w:pPr>
        <w:ind w:left="520" w:right="80" w:hanging="512"/>
        <w:spacing w:after="0" w:line="282"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not have sufficient resources to fund our operating costs or all of our future research and development and capital expenditures or possible acquisitions or joint ventures.</w:t>
      </w:r>
    </w:p>
    <w:p>
      <w:pPr>
        <w:spacing w:after="0" w:line="53" w:lineRule="exact"/>
        <w:rPr>
          <w:rFonts w:ascii="Times New Roman" w:cs="Times New Roman" w:eastAsia="Times New Roman" w:hAnsi="Times New Roman"/>
          <w:sz w:val="16"/>
          <w:szCs w:val="16"/>
          <w:color w:val="auto"/>
        </w:rPr>
      </w:pPr>
    </w:p>
    <w:p>
      <w:pPr>
        <w:ind w:left="520" w:right="460" w:hanging="512"/>
        <w:spacing w:after="0" w:line="282"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Aeva’s transition to an outsourced manufacturing business model may not be successful, which could harm our ability to deliver products and recognize revenue.</w:t>
      </w:r>
    </w:p>
    <w:p>
      <w:pPr>
        <w:spacing w:after="0" w:line="53" w:lineRule="exact"/>
        <w:rPr>
          <w:rFonts w:ascii="Times New Roman" w:cs="Times New Roman" w:eastAsia="Times New Roman" w:hAnsi="Times New Roman"/>
          <w:sz w:val="16"/>
          <w:szCs w:val="16"/>
          <w:color w:val="auto"/>
        </w:rPr>
      </w:pPr>
    </w:p>
    <w:p>
      <w:pPr>
        <w:ind w:left="520" w:right="100" w:hanging="512"/>
        <w:spacing w:after="0" w:line="282"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Aeva may be subject to product liability or warranty claims that could result in significant direct or indirect costs, which could adversely affect our business and operating results.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3" w:name="page14"/>
    <w:bookmarkEnd w:id="13"/>
    <w:p>
      <w:pPr>
        <w:spacing w:after="0" w:line="86"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highly dependent on the services of Soroush Salehian Dardashti and Mina Rezk, our two founders.</w:t>
      </w:r>
    </w:p>
    <w:p>
      <w:pPr>
        <w:spacing w:after="0" w:line="117" w:lineRule="exact"/>
        <w:rPr>
          <w:rFonts w:ascii="Times New Roman" w:cs="Times New Roman" w:eastAsia="Times New Roman" w:hAnsi="Times New Roman"/>
          <w:sz w:val="16"/>
          <w:szCs w:val="16"/>
          <w:color w:val="auto"/>
        </w:rPr>
      </w:pPr>
    </w:p>
    <w:p>
      <w:pPr>
        <w:ind w:left="520" w:right="180" w:hanging="512"/>
        <w:spacing w:after="0" w:line="282"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Interruption or failure of Aeva’s information technology and communications systems could impact our ability to effectively provide our products and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Aeva’s Business and Industry</w:t>
      </w:r>
    </w:p>
    <w:p>
      <w:pPr>
        <w:spacing w:after="0" w:line="117"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have primarily sold or otherwise provided prototypes and non-recurring engineering services to customers for the purpose of R&amp;D and testing of such customers’ development programs. If such programs are not fully developed and commercialized, or if such programs experience significant delays, Aeva’s business, financial condition and results of operations will be materially adversely affected and Aeva may never achieve or sustain profitability.</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incurred net losses on an annual basis since inception. Aeva incurred a net loss of $145.4 million, $152.3 million, and $149.3 million for the years ended December 31, 2025, 2024 and 2023, respectively. To date, Aeva has primarily sold or otherwise provided prototypes and non-recurring engineering services and has made immaterial commercial deliveries. We believe that we will continue to incur operating and net losses each quarter until at least the time we begin broad-based commercial deliveries of our products, which are not expected to occur in 2026 and may not occur at all. Even if we are able to successfully develop and sell our products, there can be no assurance that they will be commercially successful. Aeva’s potential profitability is dependent upon the successful development and successful commercial introduction and acceptance of our products, which may not occur. Because Aeva will incur the costs and expenses of developing and commercializing our products before we receive any significant revenues with respect thereto, Aeva’s losses in future periods may be significant. Aeva may never achieve or sustain profitability.</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the rate at which we will incur losses to fluctuate significantly in future periods as we:</w:t>
      </w:r>
    </w:p>
    <w:p>
      <w:pPr>
        <w:spacing w:after="0" w:line="131"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utilize third-party partners for design, testing and commercialization;</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expand our design, development and servicing capabilities;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incur expenses related to maintaining increasing levels of inventory; and</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increase our sales and marketing activities and develop our distribution infrastructures.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Aeva’s success in developing and commercializing our products depends in large part on our customers’ success in developing and commercializing their own products that utilize Aeva’s products and services. There can be no guarantee that Aeva’s customers will be able to fully develop and commercialize products that utilize Aeva’s products or that such customers will continue to utilize Aeva’s products. Such customers’ development programs may not ever be developed and commercialized or such programs may be delayed. If such customers’ development programs are not fully developed and commercialized, experience delays or otherwise do not incorporate Aeva’s products, Aeva’s business, financial condition and results of operations will be materially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Aeva’s limited operating history makes it difficult to evaluate our future prospects and the risks and challenges we may encounter.</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began operations in 2017 and have not yet fully developed and commercialized any of our products. This relatively limited operating history makes it difficult to evaluate Aeva’s future prospects and the risks and challenges we may encounter. Risks and challenges we have faced or expect to face include our ability to:</w:t>
      </w:r>
    </w:p>
    <w:p>
      <w:pPr>
        <w:spacing w:after="0" w:line="95"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develop and commercialize our products;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produce and deliver products of acceptable performance;</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forecast our revenue and budget for and manage our expenses;</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attract new customers and retain and expand existing commercial relationships;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99"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develop and protect intellectual property;</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comply with existing and new or modified laws and regulations applicable to our business;</w:t>
      </w:r>
    </w:p>
    <w:p>
      <w:pPr>
        <w:spacing w:after="0" w:line="130" w:lineRule="exact"/>
        <w:rPr>
          <w:rFonts w:ascii="Times New Roman" w:cs="Times New Roman" w:eastAsia="Times New Roman" w:hAnsi="Times New Roman"/>
          <w:sz w:val="16"/>
          <w:szCs w:val="16"/>
          <w:color w:val="auto"/>
        </w:rPr>
      </w:pPr>
    </w:p>
    <w:p>
      <w:pPr>
        <w:ind w:left="520" w:right="80" w:hanging="512"/>
        <w:spacing w:after="0" w:line="282" w:lineRule="auto"/>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plan for and manage capital expenditures for our current and future products, and manage our supply chain and supplier relationships related to our current and future products;</w:t>
      </w:r>
    </w:p>
    <w:p>
      <w:pPr>
        <w:spacing w:after="0" w:line="67"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anticipate and respond to macroeconomic changes and changes in the markets in which we operate;</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 and enhance the value of our reputation and brand;</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effectively manage our growth and business operations; and</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hire, integrate and retain talented people at all levels of our organization.</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we fail to address the risks and difficulties that Aeva faces, including those associated with the challenges listed above as well as those described elsewhere in this “Risk Factors” section, Aeva’s business, financial condition and results of operations could be adversely affected. Further, because Aeva has limited historical financial data and operates in a rapidly evolving market, any predictions about Aeva’s future revenue and expenses may not be as accurate as they would be if we had a longer operating history or operated in a more predictable market. Aeva has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Aeva’s results of operations could differ materially from our expectations and Aeva’s business, financial condition and results of operations could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strategic initiatives designed to grow the business may not be successful or may prove more costly than we currently anticipate.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make investments and implement initiatives designed to grow Aeva’s business, including:</w:t>
      </w:r>
    </w:p>
    <w:p>
      <w:pPr>
        <w:spacing w:after="0" w:line="144"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partnering with customers and potential customers to develop and commercialize Aeva’s products;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investing in R&amp;D;</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developing a highly skilled workforce;</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expanding our sales and marketing efforts to attract new customers;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investing in new applications and markets for Aeva's products;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partnering with third-parties to develop manufacturing processes; and</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investing in legal, accounting, and other administrative functions necessary to support Aeva's operations as a public company.</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initiatives, including our strategic collaboration with LG Innotek Co., Ltd. (“LGIT”), may prove more expensive than we currently anticipate, and we may not succeed in increasing our revenue, if at all, in an amount sufficient to offset these higher expenses and to achieve and maintain profitability. The market opportunities we are pursuing are at an early stage of development, and it may be many years before the end markets we expect to serve generate demand for our products at scale, if at all. Our ability to generate revenue may be adversely affected for a number of reasons, including the development and/or market acceptance of new technology that competes with Aeva’s products, failure of our customers to develop and commercialize the programs that include Aeva’s products or technology, our inability to effectively manage inventory or manufacture products at scale, our inability to enter new markets or help our customers adapt Aeva’s products for new applications or our failure to attract new customers or expand orders from existing customers or increasing competition. Furthermore, it is difficult to predict the size and growth rate of our target markets, customer demand for Aeva’s products, commercialization timelines, developments in autonomous sensing and related technology, the entry of competitive products, or the success of existing competitive products and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1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services. For these reasons, we do not expect to achieve profitability in the near term. If Aeva’s revenue does not grow over the long term, our ability to achieve and maintain profitability will be adversely affected, and the value of Aeva's business may significantly decrease.</w:t>
      </w:r>
    </w:p>
    <w:p>
      <w:pPr>
        <w:spacing w:after="0" w:line="162"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Our ability to effectively manage our anticipated growth and expansion of operations will also require us to continue to enhance Aeva’s operational, financial and management controls and infrastructure, human resources policies and reporting systems. These continued enhancements and improvements will require significant capital expenditures, investments in additional headcount and other operating expenditures and allocation of valuable management and employee resources. Aeva’s future financial performance and ability to execute on our business plan will depend, in part, on our ability to effectively manage any future growth and expansion. There are no guarantees Aeva will be able to do so in an efficient or timely manner, or at all.</w:t>
      </w:r>
    </w:p>
    <w:p>
      <w:pPr>
        <w:spacing w:after="0" w:line="2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Aeva’s products are not selected for inclusion in development programs for ADAS or autonomous driving systems (“AD”), or are not adopted by customers, Aeva’s business will be materially and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currently developing products for use in our customers’ development programs, which are in varying stages of development. In many cases, Aeva’s customers and their suppliers are designing and developing these programs and the related technology over several years. Many of these programs, including development programs for ADAS, automotive OEMs, automotive tier 1 companies, mobility or technology or industrial companies or their respective suppliers, require extensive testing or qualification processes prior to the customer placing orders for large quantities of products such as Aeva’s, because such products will function as part of a larger system or platform and must meet certain other specifications. The selection of Aeva’s products for a development program is referred to by us as a "design win." We spend significant time and resources to have Aeva’s products considered for these programs, and there is no guarantee that these efforts will result in a design win. In the case of AD and ADAS technology, a design win may mean Aeva’s product has been selected for use in a particular vehicle model. If we do not achieve a design win with respect to a particular vehicle model, we may not have an opportunity to supply Aeva’s products to the automotive OEM for that vehicle model for a period of time. In many cases, this period can be as long as five to seven years, or more. If we fail to win a significant number of vehicle models from one or more automotive OEMs or their suppliers, Aeva’s business, results of operations and financial condition will be materially and adversely affected. If our products are not selected for a particular program or if our products are not successful in such program, it is unlikely that Aeva’s products will be deployed in other programs of that customer.</w:t>
      </w:r>
    </w:p>
    <w:p>
      <w:pPr>
        <w:spacing w:after="0" w:line="19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growth depends on successfully developing and commercializing Aeva’s products and services. We currently provide prototypes and non-recurring engineering services to customers for purposes of R&amp;D and have not yet commercialized our products or services in a material amount. We may never be able to commercialize our products or may be delayed in doing so. In addition, the successful commercialization of Aeva’s products depends in part on our collaborators successfully developing and commercializing their own development programs, and such programs may not ultimately be developed or commercialized.</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period of time from a design win to implementation is long, potentially spanning several years, and we are subject to the risks of cancellation or postponement of the contract or unsuccessful implementation.</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Prospective customers, including those in the automotive industry, generally must make significant commitments of resources to test and validate Aeva’s products and confirm that they can integrate with other technologies before including them in any particular system, product or application. None of our customers make contractual commitments to use our products at volume or at all until all test and validation activities have been completed, they have finalized plans for integrating our systems, have a positive expectation of the market demand for our features, and unrelated to us, have determined that vehicle is ready for market and there is appropriate consumer demand. We expect that only after this point will our customers place definitive volume production orders with us. As of the date of this report, none of our customers have completed their on-going testing and validation or entered into definitive volume production agreements with us and there is no assurance or guarantee that any of our customers, including any for which we have announced a "design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win", will ever complete such testing and validation or enter into a definitive volume production agreement with us, or that we will receive any revenues in connection with such win.</w:t>
      </w:r>
    </w:p>
    <w:p>
      <w:pPr>
        <w:spacing w:after="0" w:line="16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development cycles of our products with new customers vary widely depending on the application, market, customer and the complexity of the product. In the automotive market, for example, this development cycle can be as long as seven or more years. The development cycle in certain other markets can be several months to a few years. These development cycles result in us investing our resources prior to realizing any revenue from the commercialization or obtaining any firm commitments of pricing, volume or timing of purchases of our products by our customers. Further, we are subject to the risk that customers cancel or postpone implementation of our technology, as well as that customers will not be able to integrate our technology successfully into a larger system with other sensing modalities. Additionally, our revenue could be materially less than forecasted if the system, product or vehicle model that includes our LiDAR products is unsuccessful, including for reasons unrelated to our technology. Long development cycles and product cancellations or postponements may adversely affect our business, results of operations and financial condition. Thus, even if we have been successful in obtaining major commercial wins, long development cycles and product cancellations or postponements and failures to successfully integrate our technology may materially and adversely affect Aeva’s business, results of operations and financial condition.</w:t>
      </w:r>
    </w:p>
    <w:p>
      <w:pPr>
        <w:spacing w:after="0" w:line="19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example, in fourth quarter of 2025, we were selected by a European original equipment manufacturer (an “OEM”) as this OEM’s LiDAR supplier for its global series-production vehicle platform to enable Level 3 automated driving. There can be no assurance that we will enter into a definitive volume production agreement with the OEM or that we will receive the return on investment that we expect, if 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forward-looking estimates of certain financial metrics may prove inaccurate.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use various estimates in formulating our business plans. We base our estimates upon a number of assumptions that are inherently subject to significant business and economic uncertainties and contingencies, many of which are beyond our control. Specifically, we use “Order Book” as a metric to measure performance against anticipated achievement of planned key milestones of our business.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define “Order Book” as the forward-looking cumulative billings estimate of Aeva’s products over the estimated lifetime of given production programs which we expect to be integrated into or provided for, based primarily on projected pricing terms and our good faith estimates of “take rate” of Aeva’s technology on production programs. “Take rates” are the anticipated percentage of new vehicles or products to be equipped with Aeva’s technology based on Aeva’s projected product offerings and growth rates.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use of the Order Book estimate is a forward-looking statement. There is no assurance or guarantee that any of our customers, including any programs which we included in our Order Book estimates will ever complete such testing and validation with us or that we will receive any billings or revenues forecasted in connection with such program. These risks and uncertainties, some of which are outside of our control, may cause our future actual sales to be materially different than that implied by the Order Book metric. The Order Book estimate may also be impacted by various factors, as described in this “Risk Factors” section, including, but not limited to the following:</w:t>
      </w:r>
    </w:p>
    <w:p>
      <w:pPr>
        <w:spacing w:after="0" w:line="75" w:lineRule="exact"/>
        <w:rPr>
          <w:sz w:val="20"/>
          <w:szCs w:val="20"/>
          <w:color w:val="auto"/>
        </w:rPr>
      </w:pPr>
    </w:p>
    <w:p>
      <w:pPr>
        <w:ind w:left="760" w:right="60" w:hanging="513"/>
        <w:spacing w:after="0" w:line="256" w:lineRule="auto"/>
        <w:tabs>
          <w:tab w:leader="none" w:pos="6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customers make contractual commitments to use our LiDAR sensors and software until all test and validation activities have been completed, they have finalized plans for integrating our systems, have a positive expectation of the market demand for our features, and unrelated to us, have determined that their vehicles or products are ready for market and there is appropriate consumer demand. Consequently, there is no assurance that any of our customers, including any programs which we included in our Order Book estimates will ever complete such testing and validation or enter into a definitive volume production agreement with us or that we will receive any billings or revenues forecasted in connection with such programs;</w:t>
      </w:r>
    </w:p>
    <w:p>
      <w:pPr>
        <w:spacing w:after="0" w:line="79" w:lineRule="exact"/>
        <w:rPr>
          <w:rFonts w:ascii="Times New Roman" w:cs="Times New Roman" w:eastAsia="Times New Roman" w:hAnsi="Times New Roman"/>
          <w:sz w:val="18"/>
          <w:szCs w:val="18"/>
          <w:color w:val="auto"/>
        </w:rPr>
      </w:pPr>
    </w:p>
    <w:p>
      <w:pPr>
        <w:ind w:left="760" w:right="40" w:hanging="513"/>
        <w:spacing w:after="0" w:line="282" w:lineRule="auto"/>
        <w:tabs>
          <w:tab w:leader="none" w:pos="6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cycles of our products with new customers vary widely depending on the application, market, customer and the complexity of the product. In the automotive market, for example, this development cycle can be as long as seven or more years. Variability in development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cycles make it difficult to reliably estimate the pricing, volume or timing of purchases of our products;</w:t>
      </w:r>
    </w:p>
    <w:p>
      <w:pPr>
        <w:spacing w:after="0" w:line="117" w:lineRule="exact"/>
        <w:rPr>
          <w:sz w:val="20"/>
          <w:szCs w:val="20"/>
          <w:color w:val="auto"/>
        </w:rPr>
      </w:pPr>
    </w:p>
    <w:p>
      <w:pPr>
        <w:ind w:left="600" w:hanging="353"/>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cancel or postpone implementation of our technology;</w:t>
      </w:r>
    </w:p>
    <w:p>
      <w:pPr>
        <w:spacing w:after="0" w:line="117" w:lineRule="exact"/>
        <w:rPr>
          <w:rFonts w:ascii="Times New Roman" w:cs="Times New Roman" w:eastAsia="Times New Roman" w:hAnsi="Times New Roman"/>
          <w:sz w:val="18"/>
          <w:szCs w:val="18"/>
          <w:color w:val="auto"/>
        </w:rPr>
      </w:pPr>
    </w:p>
    <w:p>
      <w:pPr>
        <w:ind w:left="600" w:hanging="353"/>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integrate our technology successfully into a larger system with other sensing modalities; and</w:t>
      </w:r>
    </w:p>
    <w:p>
      <w:pPr>
        <w:spacing w:after="0" w:line="117" w:lineRule="exact"/>
        <w:rPr>
          <w:rFonts w:ascii="Times New Roman" w:cs="Times New Roman" w:eastAsia="Times New Roman" w:hAnsi="Times New Roman"/>
          <w:sz w:val="18"/>
          <w:szCs w:val="18"/>
          <w:color w:val="auto"/>
        </w:rPr>
      </w:pPr>
    </w:p>
    <w:p>
      <w:pPr>
        <w:ind w:left="760" w:right="740" w:hanging="513"/>
        <w:spacing w:after="0" w:line="282" w:lineRule="auto"/>
        <w:tabs>
          <w:tab w:leader="none" w:pos="6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or vehicle model that is expected to include our LiDAR products may be unsuccessful, including for reasons unrelated to our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supply chain, Aeva’s business may be materially and adversely impacted.</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Some of the components involved in the manufacture of Aeva’s products are sourced from third-party suppliers. To date, we have produced our products in relatively limited quantities for use in development programs. Although we do not have any experience in managing our supply chain to manufacture and deliver our products at scale, Aeva’s future success will depend on our ability to do so. Some of the key components used to manufacture Aeva’s products come from limited or single-source suppliers. We are therefore subject to the risk of shortages and long lead times in the supply of these components and the risk that our suppliers discontinue or modify components used in Aeva’s products.</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a global supply chain and the loss or disruption of such supply arrangements for any reason, including as a result of geopolitical conflicts, including tensions with China and Taiwan; ongoing conflict arising out of the Russian invasion of Ukraine and the hostilities and conflict in the Middle East; other acts of war or terrorism; trade sanctions; tariffs; inflation; health epidemics or pandemics; labor disputes, work stoppages or interruptions; loss or impairment of key manufacturing sites, including due to a supplier's financial distress, natural disasters, looting or other external factors; inability to procure sufficient raw materials and/or quality control issues, may adversely affect our ability to source components in a timely or cost-effective manner from our third-party suppliers. For example, Aeva’s products depend on external semiconductor foundries. Any disruptions to those foundries could materially adversely affect our ability to manufacture Aeva's products. In addition, the lead times associated with certain components are lengthy and preclude rapid changes in quantities and delivery schedules. We have in the past experienced, and may in the future experience, component shortages and price fluctuations of certain key components and materials, and the predictability of the availability and pricing of these components may be limited. Component shortages or pricing fluctuations could be material in the future. In the event of a component shortage, supply interruption or material pricing change from suppliers of these components, we may not be able to develop alternate sources in a timely manner or at all in the case of sole or limited sources.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scheduled product deliveries to our customers. This could adversely affect our relationships with our customers and channel partners and could cause delays in shipment of our products and adversely affect Aeva’s operating results. In addition, increased component costs could result in lower gross margins. Even where we are able to pass increased component costs along to customers, there may be a lapse of time before we are able to do so such that we must absorb the increased cost. If we are unable to buy these components in quantities sufficient to meet our requirements on a timely basis, we will not be able to deliver products to customers, which may result in such customers using competitive products instead of Aeva’s.</w:t>
      </w:r>
    </w:p>
    <w:p>
      <w:pPr>
        <w:spacing w:after="0" w:line="29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Aeva’s products could result in unforeseen delays or expenses from undetected defects, errors or reliability issues in hardware or software which could reduce the market adoption of our products, damage our reputation with current or prospective customers, expose Aeva to product liability and other claims and adversely affect our operating costs.</w:t>
      </w:r>
    </w:p>
    <w:p>
      <w:pPr>
        <w:spacing w:after="0" w:line="6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Aeva's products are highly technical and complex and require high standards to manufacture. Aeva's products have in the past, and will likely in the future, experience defects, errors or reliability issues at various stages of development. We may be unable to timely release new products, manufacture existing products, or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correct problems that have arisen to our customers’ satisfaction. Additionally, undetected errors, defects or security vulnerabilities, especially as new products are introduced or as new versions are released, could result in serious injury to the end users of technology incorporating Aeva’s products, or those in the surrounding area; our customers never being able to commercialize technology incorporating Aeva’s products, litigation against Aeva, negative publicity and other consequences. These risks are particularly prevalent in the highly competitive AD and ADAS markets. Some errors or defects in Aeva’s products may only be discovered after they have been tested, commercialized and deployed by customers. If that is the case, we may incur significant additional development costs and product recall, repair or replacement costs. These product-related issues may also result in claims, including class actions, against Aeva by our customers or others. Our reputation or brand may be damaged as a result of these problems and customers may be reluctant to buy our products, which could adversely affect our ability to retain existing customers and attract new customers and could adversely affect Aeva’s financial results.</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Aeva could face material legal claims for breach of contract, product liability, fraud, tort or breach of warranty as a result of these problems. Defending a lawsuit, regardless of its merit, could be costly and may divert management’s attention and adversely affect the market’s perception of Aeva and our products. In addition, our business liability insurance coverage could prove inadequate with respect to a claim and future coverage may be unavailable on acceptable terms or at all.</w:t>
      </w:r>
    </w:p>
    <w:p>
      <w:pPr>
        <w:spacing w:after="0" w:line="28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pricing pressures, automotive OEM cost reduction initiatives and the ability of automotive OEMs to re-source or cancel vehicle or technology programs may result in lower than anticipated margins, or losses, which may adversely affect Aeva’s business.</w:t>
      </w:r>
    </w:p>
    <w:p>
      <w:pPr>
        <w:spacing w:after="0" w:line="5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Cost-cutting initiatives adopted by our customers often result in increased downward pressure on pricing. We expect that our agreements with automotive OEMs including the OEM who selected us for the Supplier Award, may require step-downs in pricing over the term of the agreement or, if commercialized, over the period of production. In addition, our automotive OEM customers often reserve the right to terminate their supply contracts for convenience, which enhances their ability to obtain price reductions. Automotive OEMs also possess significant leverage over their suppliers, including Aeva, because the automotive component supply industry is highly competitive, serves a limited number of customers and has a high fixed cost base.</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Accordingly, we expect to continue to be subject to substantial pressure from automotive OEMs and Tier 1 suppliers to reduce the price of our products. It is possible that pricing pressures could intensify beyond our forecasts as automotive OEMs pursue restructuring, consolidation and cost-cutting initiatives. If we are unable to generate sufficient production cost savings in the future to offset price reductions, Aeva’s financial results would be adversely affected.</w:t>
      </w:r>
    </w:p>
    <w:p>
      <w:pPr>
        <w:spacing w:after="0" w:line="2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substantial R&amp;D costs and devote significant resources to identifying and commercializing new products, which could significantly increase our losses and may never result in revenue to Aeva.</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future growth depends on developing Aeva’s products, on our own and with other third-party partners, penetrating new markets, adapting existing products to new applications and customer requirements, and introducing new products that achieve market acceptance. We plan to continue to incur substantial R&amp;D costs as part of our efforts to design, develop, manufacture and commercialize new products, and enhance existing products, and as such these costs may increase in the future. Because we account for R&amp;D as an operating expense, these expenditures will adversely affect Aeva’s results of operations in the future. Further, our R&amp;D program may not produce successful results, and our new products may never achieve market acceptance, create additional revenue or become profitable.</w:t>
      </w:r>
    </w:p>
    <w:p>
      <w:pPr>
        <w:spacing w:after="0" w:line="29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adoption of LiDAR, including Aeva’s 4D LiDAR technology, is uncertain. If market adoption of LiDAR, including Aeva’s 4D LiDAR technology, does not continue to develop, or develops more slowly than we expect, our business will be adversely affected.</w:t>
      </w:r>
    </w:p>
    <w:p>
      <w:pPr>
        <w:spacing w:after="0" w:line="5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While Aeva’s 4D LiDAR technology can be applied to different use cases across end markets, a significant portion of our revenue is primarily generated from the development of automotive applications.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Despite the fact that the automotive industry has engaged in considerable effort to research and test LiDAR products, including our 4D LiDAR technology, for ADAS and AD applications, the automotive industry may not introduce LiDAR products in commercially available vehicles. We continually study emerging and competing sensing technologies and methodologies and may add new sensing technologies. However, LiDAR products remain relatively new and it is possible that other sensing modalities, or a new disruptive modality based on new or existing technology, including a combination of technologies, will achieve acceptance or leadership in the ADAS and AD industries. Even if LiDAR products are used in initial generations of AD technology and certain ADAS products, we cannot guarantee that LiDAR products will be designed into or included in subsequent generations of such commercialized technology. In addition, we expect that initial generations of autonomous vehicles will be focused on limited applications, such as robo-taxis, and that mass market adoption of autonomous technology may lag behind these initial applications significantly. The speed of market growth for ADAS or autonomous vehicles is difficult if not impossible to predict, and it is more difficult to predict this market’s future growth in light of recent economic downturns and instability. In addition, we expect competition among providers of sensing technology based on LiDAR and other modalities to increase substantially. If commercialization of LiDAR products is not successful, or not as successful as we or the market expects, or if other sensing modalities gain acceptance by market participants, regulators, safety organizations or other market participants, Aeva’s business, results of operations and financial condition will be materially and adversely affected.</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investing in and pursuing market opportunities outside of the automotive markets, including industrial automation, consumer device applications, robotics and security markets. We believe that Aeva’s future revenue growth, if any, will depend in part on our ability to expand within new markets such as these and to enter new markets as they emerge. Each of these markets presents distinct risks and, in many cases, requires us to address the particular requirements of that market.</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Addressing these requirements can be time-consuming and costly. The market for LiDAR technology outside of automotive applications is relatively new, rapidly developing and unproven in many markets or industries. Many of our customers outside of the automotive industry are still in the testing and development phases and it cannot be certain that they will commercialize products or systems with Aeva’s 4D LiDAR technology or at all. We cannot be certain that LiDAR will be sold into these markets, or any market outside of automotive market, at scale. Adoption of LiDAR products, including Aeva’s products, outside of the automotive industry will depend on numerous factors, including whether the technological capabilities of LiDAR and LiDAR-based products meet users’ current or anticipated needs, whether the benefits of designing LiDAR into larger sensing systems outweigh the costs, complexity and time needed to deploy such technology or replace or modify existing systems that may have used other modalities such as cameras and radar, whether users in other applications can move beyond the testing and development phases and proceed to commercializing systems supported by LiDAR technology and whether LiDAR developers such as Aeva can keep pace with rapid technological change in certain developing markets. If LiDAR technology does not achieve commercial success outside of the automotive industry, or if the market develops at a pace slower than we expect, Aeva’s business, results of operation and financial condition will be materially and adversely affected.</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resources to fund our operating costs or all of our future research and development and capital expenditures or possible acquisitions or joint ventures.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had $121.9 million in cash, cash equivalents and marketable securities as of December 31, 2025, and an available equity facility of up to $125 million. Although we expect our current cash balance, combined with our future cash flows and financing available to us through such facility, will address our capital needs through 2026, we cannot assure you that this will be the case. Our operating environment is increasingly challenging, and our business and strategic plans may consume resources faster than we presently anticipate. In order to remain competitive, we must make substantial investments in research and development. Our products may require significant resources to develop both hardware and software solutions. Challenges of integrating new functionality into vehicles and the evolution of our customers’ performance requirements during development may also increase R&amp;D costs. Customer demands for changes to our products to meet such performance requirements are difficult to predict both in terms of timing and cost. We may be unable to fund all of our research and development and capital investment needs or possible acquisitions or joint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ventures, and we may have to pass on valuable long-term opportunities that arise if we do not have sufficient capital resources. We may be required to raise additional capital which may not be available on acceptable terms or at all. See the risk factor titled “Future issuances of equity or debt securities, including from the issuance of preferred stock to Sylebra or upon Sylebra’s exercise of warrants for our common stock, or the conversion of our convertible notes, may adversely affect us, including the market price of the common stock and may be dilutive to existing stockholders.” An inability to fund our future R&amp;D, capital expenditures and product development needs could have a material adverse effect on our business, results of operations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Aeva’s results of operations fluctuate on a quarterly and annual basis, which could cause our stock price to fluctuate or decline.</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Aeva’s quarterly results of operations have fluctuated in the past and may vary significantly in the future. As such, historical comparisons of our operating results may not be relevant, meaningful or indicative of future results. In particular, because our sales to date have primarily been of prototypes and non-recurring engineering services to customers for the purpose of R&amp;D and testing of such customers’ development programs, sales in any given quarter can fluctuate based on the timing and success of our customers’ development projects. Accordingly, the results of any one quarter should not be relied upon as an indication of future performance. Aeva’s quarterly financial results may fluctuate as a result of a variety of factors, many of which are outside of our control and may not fully reflect the underlying performance of Aeva’s business. These fluctuations could adversely affect our ability to meet our forecasts or those of securities analysts, ratings agencies or investors. If we do not meet these expectations for any period, the value of Aeva’s business and securities could decline significantly. Factors that may cause these quarterly fluctuations include, without limitation, those listed below:</w:t>
      </w:r>
    </w:p>
    <w:p>
      <w:pPr>
        <w:spacing w:after="0" w:line="97"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magnitude of orders and shipments of Aeva’s products in any quarter;</w:t>
      </w:r>
    </w:p>
    <w:p>
      <w:pPr>
        <w:spacing w:after="0" w:line="14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magnitude of sales returns and warranty claims of Aeva’s products in any quarter;</w:t>
      </w:r>
    </w:p>
    <w:p>
      <w:pPr>
        <w:spacing w:after="0" w:line="13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magnitude of non-recurring engineering services revenue in any quarter;</w:t>
      </w:r>
    </w:p>
    <w:p>
      <w:pPr>
        <w:spacing w:after="0" w:line="13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changes we may adopt to drive market adoption or in response to competitive pressure;</w:t>
      </w:r>
    </w:p>
    <w:p>
      <w:pPr>
        <w:spacing w:after="0" w:line="14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 and attract new customers;</w:t>
      </w:r>
    </w:p>
    <w:p>
      <w:pPr>
        <w:spacing w:after="0" w:line="13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manufacture and ship in a timely manner products that meet customer requirements;</w:t>
      </w:r>
    </w:p>
    <w:p>
      <w:pPr>
        <w:spacing w:after="0" w:line="13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sales channels or terminations of relationships with important channel partners;</w:t>
      </w:r>
    </w:p>
    <w:p>
      <w:pPr>
        <w:spacing w:after="0" w:line="144" w:lineRule="exact"/>
        <w:rPr>
          <w:rFonts w:ascii="Times New Roman" w:cs="Times New Roman" w:eastAsia="Times New Roman" w:hAnsi="Times New Roman"/>
          <w:sz w:val="18"/>
          <w:szCs w:val="18"/>
          <w:color w:val="auto"/>
        </w:rPr>
      </w:pPr>
    </w:p>
    <w:p>
      <w:pPr>
        <w:ind w:left="520" w:right="70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customers’ purchasing cycles or deferments of customers’ purchases in anticipation of new products or updates from Aeva or our competitors;</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Aeva’s products;</w:t>
      </w:r>
    </w:p>
    <w:p>
      <w:pPr>
        <w:spacing w:after="0" w:line="13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and services sold in any quarter;</w:t>
      </w:r>
    </w:p>
    <w:p>
      <w:pPr>
        <w:spacing w:after="0" w:line="144"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rate of broader market adoption of autonomous systems utilizing Aeva’s products or technology across the automotive and other market sectors;</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LiDAR and further technological advancements by Aeva’s competitors and other market participants;</w:t>
      </w:r>
    </w:p>
    <w:p>
      <w:pPr>
        <w:spacing w:after="0" w:line="13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customers to commercialize systems that incorporate Aeva’s products;</w:t>
      </w:r>
    </w:p>
    <w:p>
      <w:pPr>
        <w:spacing w:after="0" w:line="14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competitive dynamics of our markets, including consolidation of competitors, regulatory developments and new market entrants;</w:t>
      </w:r>
    </w:p>
    <w:p>
      <w:pPr>
        <w:spacing w:after="0" w:line="13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inventory;</w:t>
      </w:r>
    </w:p>
    <w:p>
      <w:pPr>
        <w:spacing w:after="0" w:line="13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source, cost, availability of and regulations pertaining to materials we use;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99"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 or claims that may give rise to such costs; and</w:t>
      </w:r>
    </w:p>
    <w:p>
      <w:pPr>
        <w:spacing w:after="0" w:line="14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trade disputes.</w:t>
      </w:r>
    </w:p>
    <w:p>
      <w:pPr>
        <w:spacing w:after="0" w:line="32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transition to an outsourced manufacturing business model may not be successful, which could harm our ability to deliver products and recognize revenue.</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in the initial stages of transitioning from a manufacturing model in which we source components from third-parties and assemble our final products at our San Francisco Bay Area location, to one where we rely exclusively on third-party manufacturers for both the manufacturing and assembly of Aeva’s products. We believe the use of third-party manufacturers in this manner will have benefits, but in the near term, while we begin working with new counterparties, Aeva may lose revenue, incur increased costs and potentially harm our customer relationships. Moreover, we may not be able to establish relationships with third-party manufacturers in a timely manner.</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Reliance on third-party manufacturers reduces Aeva’s control over the production process, including reduced control over quality, product costs and product supply and timing. We may experience delays in shipments or issues concerning product quality from our third-party manufacturers. If any of our third-party manufacturers experience interruptions, delays or disruptions in supplying its products, including due to health epidemics or pandemics; labor disputes, work stoppages or interruptions; natural disasters, looting or other external factors, or inability to procure sufficient raw materials, our ability to ship products to distributors and customers would be delayed. In addition, unfavorable economic conditions could result in financial distress among third-party manufacturers upon which we rely, thereby increasing the risk of disruption of supplies necessary to fulfill our production requirements and meet customer demands. Additionally, if any of our third-party manufacturers experience quality control problems in their manufacturing operations and Aeva’s products do not meet customer or regulatory requirements, we could be required to cover the cost of repair or replacement of any defective products. Any such delays or product quality issues could have an immediate and material adverse effect on our ability to fulfill orders and could have a negative effect on Aeva’s operating results. In addition, any such delays or product quality issues could adversely affect our reputation and relationship with our channel partners. If third-party manufacturers experience financial, operational, manufacturing capacity or other difficulties, or experience shortages in required components, or if they are otherwise unable or unwilling to continue to manufacture Aeva’s products in required volumes or at all, our supply may be disrupted, we may be required to seek alternate manufacturers and we may be required to re-design our products. It would be time-consuming, and could be costly and impracticable, to begin to use new manufacturers and designs, and such changes could cause significant interruptions in supply and could have an adverse effect on our ability to meet scheduled product deliveries and may subsequently lead to the loss of sales. While we take measures to protect our trade secrets, the use of third-party manufacturers may also risk disclosure of our innovative and proprietary manufacturing methodologies, which could adversely affect Aeva’s business.</w:t>
      </w:r>
    </w:p>
    <w:p>
      <w:pPr>
        <w:spacing w:after="0" w:line="29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Aeva, our outsourcing partners and suppliers may rely on complex machinery and highly skilled labor for production, which involves a significant degree of risk and uncertainty.</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Aeva, our outsourcing partners and suppliers may rely on complex machinery for the production, assembly and installation of Aeva’s products, which involves a significant degree of uncertainty and risk in terms of operational performance and costs. The facilities of our outsourcing partners and suppliers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In addition, Aeva and any of our other outsourcing partners and suppliers also rely on highly skilled labor for assembly and production. If such highly skilled labor is unavailable, Aeva’s business could be adversely affected. Operational performance and costs can be difficult to predict and are often influenced by factors outside of our control, including scarcity of natural resources, environmental hazards and remediation, costs associated with decommissioning of machines, labor disputes and strikes, difficulty or delays in obtaining governmental permits, damages or defects in electronic systems, industrial accidents, fire, seismic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activity and other natural disasters. Should operational risks materialize, it may result in injury to or the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Aeva’s business, prospects, financial condition or operating results.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part of growing our business, we may make acquisitions. If we fail to successfully select, execute or integrate any acquisitions, then Aeva’s business, results of operations and financial condition could be materially adversely affected, and our stock price could decline.</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Furthermore, acquisitions and the subsequent integration of new assets, businesses, key personnel, customers, vendors and suppliers require significant attention from Aeva’s management and could result in a diversion of resources from Aeva’s existing business, which in turn could have an adverse effect on Aeva’s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18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 experience with acquisitions and the integration of acquired technology and personnel. Failure to successfully identify, complete, manage and integrate acquisitions could materially and adversely affect Aeva's business, financial condition and results of operations and could cause our stock price to decline.</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operations in international markets expose us to operational, financial and regulatory risks, including possible unfavorable regulatory, political, tax and labor conditions, which could harm Aeva’s business.</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International sales comprise a significant amount of Aeva’s overall revenue. We are committed to continuing to grow international sales, and while we have committed resources to expanding our international operations and sales channels, these efforts may not be successful. International operations are subject to a number of other risks, including:</w:t>
      </w:r>
    </w:p>
    <w:p>
      <w:pPr>
        <w:spacing w:after="0" w:line="81"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exchange rate fluctuations;</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political and economic instability, international terrorism and anti-American sentiment, particularly in emerging markets;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global or regional health crises, such as pandemics, epidemics and outbreaks;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potential for violations of anti-corruption laws and regulations, such as those related to bribery and fraud;</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preference for locally branded products, and laws and business practices favoring local competition;</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increased difficulty in managing inventory;</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delayed revenue recognition;</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less effective protection of intellectual property;</w:t>
      </w:r>
    </w:p>
    <w:p>
      <w:pPr>
        <w:spacing w:after="0" w:line="130" w:lineRule="exact"/>
        <w:rPr>
          <w:rFonts w:ascii="Times New Roman" w:cs="Times New Roman" w:eastAsia="Times New Roman" w:hAnsi="Times New Roman"/>
          <w:sz w:val="16"/>
          <w:szCs w:val="16"/>
          <w:color w:val="auto"/>
        </w:rPr>
      </w:pPr>
    </w:p>
    <w:p>
      <w:pPr>
        <w:ind w:left="520" w:right="660" w:hanging="512"/>
        <w:spacing w:after="0" w:line="266" w:lineRule="auto"/>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stringent regulation of the autonomous or other systems or products using Aeva’s products and stringent consumer protection and product compliance regulations, including General Data Protection Regulation, European competition law, the Restriction of Hazardous Substances Directive, the Waste Electrical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Electronic Equipment Directive and the European Ecodesign Directive that are costly to comply with and may vary from country to country;</w:t>
      </w:r>
    </w:p>
    <w:p>
      <w:pPr>
        <w:spacing w:after="0" w:line="144"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import and export laws and the impact of tariffs;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local tax and customs duty laws or changes in the enforcement, application or interpretation of such laws; and</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U.S. government’s restrictions on certain technology transfers to certain countries of concern.</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negatively affect our international sales and consequently Aeva's business, operating results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Aeva faces risks associated with manufacturing operations outside the United States.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heavily rely on third-party manufacturing operations outside the United States, and expect this reliance to continue or expand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outside the United States is subject to several inherent risks, including:</w:t>
      </w:r>
    </w:p>
    <w:p>
      <w:pPr>
        <w:spacing w:after="0" w:line="112"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foreign currency fluctuations;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local economic conditions;</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political instability or unrest;</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conflicts, hostilities and acts of war;</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import or export requirements;</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foreign government regulatory requirements;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tariffs, sanctions, boycotts and other trade barriers and restrictions; and</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potentially adverse tax consequences.</w:t>
      </w:r>
    </w:p>
    <w:p>
      <w:pPr>
        <w:spacing w:after="0" w:line="225"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Such risks could increase our costs and decrease our gross profit margins.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Soroush Salehian Dardashti and Mina Rezk, our two founders.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highly dependent on our co-founders, Soroush Salehian Dardashti and Mina Rezk. Messrs. Salehian and Rezk remain deeply involved in all aspects of Aeva’s business, including product development. The loss of either of Messrs. Salehian and Rezk would adversely affect our business because such loss could make it more difficult to, among other things, compete with other market participants, manage our R&amp;D activities and retain existing customers or cultivate new ones. Negative public perception of, or negative news related to, either of Messrs. Salehian and Rezk may adversely affect Aeva’s brand, relationship with customers or standing in the industry.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efforts of highly skilled personnel, and our operations may be severely disrupted if we lost their services.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Competition for highly-skilled personnel is often intense, especially in the San Francisco Bay Area, where Aeva’s headquarters is located, and we may incur significant costs to attract highly-skilled personnel. We may not be successful in attracting, integrating, or retaining qualified personnel to fulfill our current or future needs. We have from time to time, experienced, and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Aeva’s equity or equity awards declines, it may adversely affect our</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ability to retain highly skilled employees. If we fail to attract new personnel or to retain and motivate current personnel, our business and future growth prospects could be adversely affected.</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or warranty claims that could result in significant direct or indirect costs, which could adversely affect Aeva’s business and operating results.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customers use Aeva’s products and technology in various applications, including AD and ADAS applications, which present the risk of significant injury, including fatalities. Aeva may be subject to claims if a product using our technology is involved in an accident and persons are injured or purport to be injured. Any insurance that Aeva carries may not be sufficient or it may not apply to all situations. Similarly, Aeva’s customers could be subjected to claims as a result of such accidents and bring legal claims against Aeva to attempt to hold Aeva liable. In addition, if lawmakers or governmental agencies were to determine that the use of Aeva’s products or similar technologies, including AD or certain ADAS applications, increased the risk of injury to all or a subset of our customers or potential customers, they may pass laws or adopt regulations that limit the use of Aeva’s products or increase our liability associated with the use of Aeva’s products or that regulate the use of or delay the deployment the products that use Aeva’s technology, including AD and ADAS technology. Any of these events could adversely affect Aeva’s brand, relationships with customers, operating results or financial condition.</w:t>
      </w:r>
    </w:p>
    <w:p>
      <w:pPr>
        <w:spacing w:after="0" w:line="18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typically provide a limited-time warranty on Aeva’s products. The occurrence of any material defects in Aeva products could make us liable for damages and warranty claims. In addition, we could incur significant costs to correct any defects, warranty claims or other problems, including costs related to product recalls. Any negative publicity related to the perceived quality of Aeva’s products could affect our brand image, partner and customer demand, and adversely affect Aeva’s operating results and financial condition. Also, warranty, recall and product liability claims may result in litigation, including class actions, the occurrence of which could be costly, lengthy and distracting and adversely affect Aeva’s business and operating results.</w:t>
      </w:r>
    </w:p>
    <w:p>
      <w:pPr>
        <w:spacing w:after="0" w:line="28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do not maintain sufficient inventory or do not adequately manage our respective inventory, we could lose sales or incur higher inventory-related expenses, which could negatively affect Aeva’s operating results.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To ensure adequate inventory supply, we and our suppliers must forecast inventory needs and expenses, place orders sufficiently in advance with our respective suppliers and manufacturing counterparties and manufacture products based on our estimates of future demand for particular products. Fluctuations in the market adoption of LiDAR may affect our ability to forecast Aeva’s future operating results, including revenue, gross margins, cash flows and profitability. Our ability to accurately forecast demand for our products could be affected by many factors, including the rapidly changing nature of the AD and ADAS markets in which we operate, the uncertainty surrounding the market acceptance and commercialization of LiDAR technology, the emergence of new markets, an increase or decrease in customer demand for Aeva’s products or for products and services of our competitors, product introductions by competitors, pandemics, other health epidemics and outbreaks, and any associated work stoppages or interruptions, unanticipated changes in general market conditions, political instability and the weakening of economic conditions or consumer confidence in future economic conditions. If Aeva’s products are commercialized in industries that are quickly growing, including AD and ADAS applications, we may face challenges acquiring adequate supplies to manufacture our products and we and our manufacturing counterparties may not be able to manufacture Aeva’s products at a rate necessary to satisfy the levels of demand, which would negatively affect Aeva’s revenue. This risk may be exacerbated by the fact that we may not carry or be able to obtain for our manufacturers a sufficient amount of inventory to satisfy short-term demand increases. If we fail to accurately forecast customer demand, we may experience excess inventory levels or a shortage of products available for sale.</w:t>
      </w:r>
    </w:p>
    <w:p>
      <w:pPr>
        <w:spacing w:after="0" w:line="18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Inventory levels in excess of customer demand may result in inventory write-downs or write-offs and the sale of excess inventory at discounted prices, which would adversely affect Aeva’s financial results, including gross margin, and have a negative effect on our brand. Conversely, if we underestimate customer demand for Aeva’s products, we or our manufacturing counterparties may not be able to deliver products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meet our requirements, and this could result in damage to Aeva’s brand and customer relationships and adversely affect Aeva’s revenue and operating results.</w:t>
      </w:r>
    </w:p>
    <w:p>
      <w:pPr>
        <w:spacing w:after="0" w:line="26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Aeva’s products could decrease rapidly over the life of the product, which may negatively affect Aeva’s revenue and margins. In addition, the selling prices we are able to ultimately charge in the future for the products we are currently developing or commercializing may be less than what we currently project, which may cause Aeva’s actual operating results to differ materially from our projections.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prices that we are able to ultimately charge in the future for the products we are currently developing or commercializing may experience declines for a variety of reasons, many of which are outside of our control. In order to sell products that have a falling average unit selling price and simultaneously maintain margins, we will need to continually reduce product and manufacturing costs. To manage manufacturing costs, we must engineer the most cost-effective design for Aeva’s products and collaborate with our manufacturing counterparties to reduce manufacturing costs. We also need to continually introduce new products with higher sales prices and gross margin in order to maintain overall gross margin. If we are unable to manage the cost of older products or successfully introduce new products with a higher gross margin, Aeva’s revenue and overall gross margin would likely decline. In addition, the selling prices we are able to ultimately charge in the future for the products we are currently developing or commercializing may be less than what we currently project, which may cause Aeva’s actual operating results to differ materially from our forecasts and projections.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conditions in the automotive industry or the global economy more generally could have adverse effects on Aeva’s results of operations.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While we make strategic planning decisions based on the assumption that the markets we are targeting will grow, our business is dependent, in large part on, and directly affected by, business cycles and other factors affecting the global automobile industry and global economy generally. Automotive production and sales are highly cyclical and depend on general economic conditions and other factors, including consumer spending and preferences, changes in interest rates and credit availability, consumer confidence, fuel costs, fuel availability, environmental impact, governmental incentives and regulatory requirements, and political volatility, especially in energy-producing countries and growth markets. In addition, automotive production and sales can be affected by our automotive OEM customers’ ability to continue operating in response to challenging economic conditions and in response to labor relations issues, regulatory requirements, trade agreements, new tariffs, quotas, duties, or other trade restrictions or limitations, and other factors, such as the unavailability of unrelated components in the assembly of automobiles. The volume of automotive production in North America, Europe and the rest of the world has fluctuated, sometimes significantly, from year to year, and we expect such fluctuations to continue to give rise to fluctuations in the demand for our products. Any significant adverse change in any of these factors may result in a reduction in automotive sales and production by our automotive OEM customers and could have a material adverse effect on Aeva’s business, results of operations and financial condition.</w:t>
      </w:r>
    </w:p>
    <w:p>
      <w:pPr>
        <w:spacing w:after="0" w:line="296"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discontinuation, lack of commercial success, or loss of business with respect to a particular vehicle model or technology package, or consumer electronics, consumer health, security or industrial application, for which we are a significant supplier could reduce our sales and adversely affect Aeva’s financial condition.</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When we secure design wins and Aeva’s products are included in our customers’ applications, including AD and ADAS products or consumer electronics, consumer health, industrial or security applications, we expect to enter into supply agreements with the relevant customer. For AD and ADAS products, market practice dictates that these supply agreements typically require us to supply a customer’s requirements for a particular vehicle model or AD or ADAS product, rather than supply a set number of products. These contracts can have short terms and/or can be subject to renegotiation, sometimes as frequently as annually, all of which may affect product pricing, and may be terminated by our customers at any time. Therefore, for AD and ADAS products, even if the systems into which Aeva’s products are built are commercialized, the discontinuation of, the loss of business with respect to, or a lack of commercial success of a particular vehicle model or technology package for which we are a significant supplier could mean that the expected sales of</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Aeva’s products will not materialize, which would materially and adversely affect our business. For example, there can be no assurance that any OEM products for which we are selected will be commercially successful. In addition, the loss of business with respect to a customer’s application in the consumer electronics, consumer health, security or industrial application for which we are a significant supplier could reduce our sales and adversely affect Aeva’s financial condition.</w:t>
      </w:r>
    </w:p>
    <w:p>
      <w:pPr>
        <w:spacing w:after="0" w:line="31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anticipate changing customer and consumer preferences or respond quickly enough to changes in technology and standards to be able to develop and introduce commercially viable products.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ability to maintain and improve existing products, anticipate changes in technology, regulatory and other standards, and to successfully develop and introduce new and enhanced technologies and products on a timely basis will be a significant factor in our ability to be competitive and gain market acceptance. If we are unsuccessful or are less successful than our competitors in predicting the course of market development and perceptions of drivers regarding autonomous driving capabilities and solutions, developing innovative products, processes, and/or use of materials, or adapting to new technologies or evolving regulatory, industry or customer requirements, we will suffer from a competitive disadvantage. Further, the global automotive industry is experiencing a period of significant technological change, including the development of combined software and system-on-chip (“SoC”) hardware solutions to handle the influx of information into vehicles from increasing numbers of sensors and efficiently manage multilevel processing in real time while operating within a system's power budget. As a result, the success of portions of our business requires us to develop, acquire and/or incorporate new technologies. We may need to adjust our strategy and projected development and/or commercialization timelines based on how these technological challenges evolve over time. There is a risk that these challenges will not be overcome, and that our investments in R&amp;D initiatives will not lead to successful new products and a corresponding increase in revenue, which could have a material adverse effect on our business, results of operations and financial condition.</w:t>
      </w:r>
    </w:p>
    <w:p>
      <w:pPr>
        <w:spacing w:after="0" w:line="29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many of the markets in which we compete are new and rapidly evolving, it is difficult to forecast long-term end-customer adoption rates and demand for Aeva’s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pursuing opportunities in markets that are undergoing rapid changes, including technological and regulatory changes, and it is difficult to predict the timing and size of the opportunities. For example, AD and LiDAR-based ADAS, and consumer electronics, consumer health and industrial applications require complex technology. Because these products depend on technology from many companies, commercialization of these products could be delayed or impaired if certain technological components, including Aeva’s products, are not ready to be deployed. Although we have development agreements in place with commercial counterparties, these companies may not commercialize Aeva’s technology in the near term, or at all. Regulatory, safety or reliability developments, many of which are outside of our control, could also cause delays or otherwise impair commercial adoption of these new technologies, which will adversely affect our growth. Aeva’s future financial performance will depend on our ability to make timely investments in the correct market opportunities. If one or more of these markets experience a shift in customer or prospective customer demand, Aeva’s products may not compete as effectively, if at all, and they may not be designed into commercialized products. Given the evolving nature of the markets in which we operate, it is difficult to predict customer demand or adoption rates for our products or the future growth of the markets in which we operate. If demand does not develop or if we cannot accurately forecast customer demand, the size of our markets, inventory requirements or future financial results, our business, results of operations and financial condition will be adversely affected.</w:t>
      </w:r>
    </w:p>
    <w:p>
      <w:pPr>
        <w:spacing w:after="0" w:line="2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Many of our current and potential customers, production counterparties and suppliers are large corporations with substantial negotiating power, exacting product, quality and warranty standards and potentially competitive internal solutions. If we are unable to sell our products to these customers or to enter into agreements with customers, suppliers and production counterparties on satisfactory terms, our prospects and results of operations will be adversely affected.</w:t>
      </w:r>
    </w:p>
    <w:p>
      <w:pPr>
        <w:spacing w:after="0" w:line="72"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Many of our current and potential customers, production counterparties and suppliers are large, multinational corporations with substantial negotiating power relative to us and, in some instances, may have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internal solutions that are competitive to our products. Many of these large, multinational corporations also have significant development resources, which may allow them to acquire or develop competitive technologies independently, or in partnership with others. Meeting the technical requirements and securing design wins with any of these companies will continue to require a substantial investment of our time and resources. We cannot guarantee that our products or technology will secure design wins from these or other companies or that we will generate meaningful revenue from the sales of our products to these potential customers. If our products are not selected by these large corporations or if these corporations develop or acquire competitive technology, it will have an adverse effect on Aeva’s business and prospects.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small number of customers and our business and financial condition would be adversely affected if these customers terminated or if they were unable to pay their invoices.</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Although we continue to pursue a broad customer base, we are currently dependent on a small number of customers with strong purchasing power. In fiscal year 2025, Aeva’s top three customers accounted for 64% of revenue. For fiscal year 2024, Aeva’s top two customers accounted for 72% of revenue. The loss of business from any of our major customers (whether by lower overall demand for our products, cancellation of existing contracts or product orders or the failure to design in Aeva’s products or award us new business) could have a material adverse effect on our business.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To the extent AD and ADAS become accepted by major automotive OEMs, we expect that we will rely increasingly on Tier 1 suppliers and contract manufactures through which automotive OEMs procure components. We expect that these Tier 1 suppliers will be responsible for certain hardware and software development and configuration activities specific to each OEM, and they may not exclusively carry Aeva’s products or technology.</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There is also a risk that one or more of our major customers could be unable to pay our invoices as they become due or that a customer will simply refuse to make such payments if it experiences financial difficulties. As of December 31, 2025 three customers accounted for 72% and as of December 31, 2024 five customers accounted for 68% of accounts receivable, respectively. If a major customer were to enter into bankruptcy proceedings or similar proceedings whereby contractual commitments are subject to stay of execution and the possibility of legal or other modification, we could be forced to record a substantial loss.</w:t>
      </w:r>
    </w:p>
    <w:p>
      <w:pPr>
        <w:spacing w:after="0" w:line="28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confidence in Aeva’s long-term business prospects among customers and analysts and within our industry, or if we are subject to negative publicity, then Aeva’s financial condition, operating results, business prospects and access to capital may suffer materially.</w:t>
      </w:r>
    </w:p>
    <w:p>
      <w:pPr>
        <w:spacing w:after="0" w:line="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have not yet fully developed or commercialized our products or services and the successful commercialization of Aeva’s products will depend, in part, on our collaborators, customers and potential customers committing to use Aeva’s technology in their own products. Customers may be less likely to purchase our products if they are not convinced that our business will succeed or that our service and support and other operations will continue in the long term. Similarly, suppliers and other third parties will be less likely to invest time and resources in developing business relationships with us if they are not convinced that our business will succeed. If we are unable to establish and maintain confidence in Aeva's long-term business prospects among customers, suppliers, analysts, ratings agencies and analysts and within our industry or are subject to negative publicity, then Aeva’s financial condition, operating results, business prospects and access to capital may suffer materially.</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investments in educating our customers and potential customers about the advantages of Aeva’s 4D LiDAR technology and its applications may not result in sales of Aeva’s products or services.</w:t>
      </w:r>
    </w:p>
    <w:p>
      <w:pPr>
        <w:spacing w:after="0" w:line="5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Educating our prospective customers, and to a lesser extent, existing customers, about Aeva’s 4D LiDAR technology, its advantages over other sensing technologies and its ability to convey value in different industries and deployments is an integral part of developing new business and the LiDAR market generally. If prospective customers have a negative perception of, or experience with, LiDAR or related technology or a competitor’s LiDAR products they may be reluctant to adopt LiDAR in general or Aeva’s products or technology specifically. Adverse statements about LiDAR by influential market participants may also deter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adoption. Some of our competitors have significant financial or marketing resources that may allow them to engage in public marketing campaigns about their alternative technology, LiDAR or Aeva’s products or technology. Our efforts to educate potential customers and the market generally and to counter any adverse statements made by competitors or other market participants will continue to require significant financial and personnel resources. These educational efforts may not be successful and we may not offset the costs of such efforts with revenue. If we are unable to acquire new customers to offset these expenses or if the market accepts such adverse statements, Aeva's financial condition will be adversely affected.</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and some market participants have substantially greater resources. We compete against a large number of both established competitors and new market entrants with respect to, among other things, cost, product specifications and technology.</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markets for sensing technology are highly competitive, particularly in the automotive industry. Our future success will depend on our ability to emerge as a leader in our targeted markets by continuing to develop and protect from infringement Aeva’s advanced 4D LiDAR technology in a timely manner and to effectively compete with existing and new competitors. Our competitors are numerous and they compete with us directly by offering LiDAR products and indirectly by attempting to solve some of the same challenges with different technology. We face competition from camera and radar companies, other developers of LiDAR products, Tier 1 suppliers and other technology and automotive supply companies, some of which have significantly greater resources than we do. In the automotive market, Aeva’s competitors have commercialized both LiDAR and non-LiDAR-based ADAS technology that has achieved market adoption, strong brand recognition and may continue to improve. Other competitors are working towards commercializing AD technology and either by themselves, or with a publicly announced partner, have substantial financial, marketing, R&amp;D and other resources. Some of our customers in the autonomous vehicle and ADAS markets have announced development efforts or made acquisitions directed at creating their own LiDAR-based or other sensing technologies, which would compete with our products. We do not know how close these competitors are to commercializing AD systems or novel ADAS applications. In markets outside of the automotive industry, our competitors, like Aeva, seek to develop new sensing applications across industries. Even in these emerging markets, we face substantial competition from numerous competitors seeking to prove the value of their technology.</w:t>
      </w:r>
    </w:p>
    <w:p>
      <w:pPr>
        <w:spacing w:after="0" w:line="18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Additionally, increased competition may result in pricing pressure and reduced margins and may impede our ability to increase the sales of our products or cause us to lose market share, any of which will adversely affect Aeva’s business, results of operations and financial condition.</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compete are characterized by rapid technological change, which requires us to continue to develop new products and product innovations and could adversely affect market adoption of our products.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intend to continue to invest substantial resources in technological development. However, continuing technological changes in sensing technology, LiDAR and the markets for these products, including the ADAS and AD industries, could adversely affect adoption of LiDAR and/or Aeva’s products, either generally or for particular applications. Our future success will depend upon our ability to develop and introduce a variety of new capabilities and innovations to our product offerings, as well as introduce a variety of new product offerings, to address the changing needs of the markets in which we offer Aeva’s products. Delays in delivering new products that meet customer requirements could damage our relationships with customers and lead them to seek alternative sources of supply. In addition, our success to date has primarily been based on the delivery of prototypes and services to R&amp;D programs in which developers are investing substantial capital to develop new systems. Our continued success relies on the success of the R&amp;D phase of these customers as they expand into commercialized projects. As autonomous technology reaches the stage of large-scale commercialization, we will be required to develop and deliver products at price points that enable wider and ultimately mass-market adoption. Delays in introducing products and innovations, the failure to choose correctly among technical alternatives or the failure to offer innovative products or configurations at competitive prices may cause existing and potential customers to purchase our competitors’ products or turn to alternative sensing technology.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9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devote adequate resources to develop products or cannot otherwise successfully develop products or system configurations that meet customer requirements on a timely basis or that remain competitive with technological alternatives, our products could lose market share, our revenue will decline, we may experience operating losses and our business and prospects will be adversely affected.</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equity or debt securities, including from the issuance of preferred stock to Sylebra, upon Sylebra’s exercise of warrants for our common stock, or the conversion of our convertible notes, may adversely affect us, including the market price of our common stock and may be dilutive to existing stockholders.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future, we may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In order to further business relationships with current or potential customers or partners, we may issue equity or equity-linked securities to such current or potential customers or partners. We may not be able to timely secure additional debt or equity financing on favorable terms, or at all. If we issue equity or convertible debt or other equity-linked securities, existing stockholders could experience significant dilution. Any debt financing obtained by Aeva in the future could involve restrictive covenants relating to our capital-raising activities and other financial and operational matters, which may make it more difficult for Aeva to obtain additional capital and to pursue business opportunities, including potential acquisitions. If we are unable to obtain adequate financing or financing on terms satisfactory to Aeva, when we require it, our ability to continue to grow or support our business and to respond to business challenges could be significantly limited.</w:t>
      </w:r>
    </w:p>
    <w:p>
      <w:pPr>
        <w:spacing w:after="0" w:line="18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November 2023, we entered into a Standby Equity Purchase Agreement (the “Facility Agreement”) with entities affiliated with Sylebra. Pursuant to the Facility Agreement, we have the right, but not the obligation, to sell to Sylebra up to $125.0 million of shares of preferred stock, subject to satisfaction of certain conditions, at our request until November 8, 2026. Aeva’s right to request advances is conditioned upon Aeva achieving a minimum of one new passenger auto-OEM or commercial OEM program award with at least a 50,000 unit volume, the trading price of our common stock being below $38 at the time of the request and other customary conditions. As of the date of this report, all conditions to request advance under the Facility Agreement were met. Any preferred stock issued under the Facility Agreement will rank senior to our common stock, have priority upon liquidation rights and certain other preferences and privileges more favorable than those of the common stock. Because our decision to draw on the Facility Agreement or issue additional debt or equity in the future will depend on market conditions and other factors beyond our control, including Sylebra’s ability to satisfy its obligations under the Facility Agreement, we cannot predict or estimate the amount, timing, nature or success of our future capital raising efforts. Sales of shares of common stock in the public market or the perception that these sales or conversions might occur may depress the market price of our common stock and could impair our ability to raise capital through the sale of additional equity securities.</w:t>
      </w:r>
    </w:p>
    <w:p>
      <w:pPr>
        <w:spacing w:after="0" w:line="192"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In November 2025, we sold $100.0 million aggregate principal amount of our 4.375% Convertible Senior Notes due 2023 (the “Notes”) to certain funds affiliated with Apollo Global Securities, LLC (the “Apollo Funds”). Such funds are guaranteed by one of our wholly owned subsidiaries. The Notes are convertible at the option of their holders into shares of common stock, and we may pay interest on the Notes in cash, in shares of common stock, or in a combination of cash and shares of common stock. To the extent we pay interest using shares of common stock or holders of the Notes convert their Notes, our stockholders will be diluted, which may result in a decrease in the market value of our common stock.</w:t>
      </w:r>
    </w:p>
    <w:p>
      <w:pPr>
        <w:spacing w:after="0" w:line="183"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In addition, as of December 31, 2025, we had warrants to purchase an aggregate of 5.5 million shares of our common stock outstanding. As of December 31, 2025, we had 12.1 million public warrants and 0.4 million private warrants outstanding, exercisable for 2.5 million shares of common stock. Every five public and private warrant entitles the registered holder to purchase one share of common stock at a price of $57.50 per share. These warrants expired on March 12, 2026, and trading of the public warrants was suspended upon expiration. We also had 3.0 million Series A Warrants exercisable for 3.0 million shares of common stock at an exercise price of $5.00 per share. To the extent remaining warrants are exercised, additional shares of</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common stock will be issued, which will result in dilution to the then-existing holders of common stock and increase the number of shares eligible for resale in the public market. Sales of substantial numbers of such shares in the public market or the fact that such warrants may be exercised could adversely affect the market price of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alternative technology may adversely affect the demand for Aeva’s 4D LiDAR technology.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Significant developments in alternative technologies, such as cameras and radar, may materially and adversely affect our business, prospects, financial condition and operating results in ways we do not currently anticipate. Existing and other camera and radar technologies may emerge as customers’ preferred alternative to Aeva’s 4D LiDAR technology. Any failure by us to develop new or enhanced technologies or processes, or to react to changes in existing technologies, could materially delay our development and introduction of new and enhanced products in the autonomous vehicle industry, which could result in the loss of competitiveness of Aeva’s products and technology, decreased revenue and a loss of market share to competitors. Our R&amp;D efforts may not be sufficient to adapt to changes in technology. As technologies change, we plan to upgrade or adapt our products with the latest technology. However, our products and technology may not compete effectively with alternative systems if we are not able to source and integrate the latest technology into our existing products or technology.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LiDAR is new in most of the markets we are seeking to enter, our forecasts of market growth may not be accurate.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Even if these markets experience the forecasted growth, we may not grow our business at similar rates, or at all. Our future growth is subject to many factors, including market adoption of Aeva's products, which are subject to many risks and uncertainties. Accordingly, any of our forecasts and estimates of market size and growth, should not be taken as indicative of Aeva’s future growth. In addition, these forecasts do not take into account the impact of the geopolitical uncertainties and we cannot guarantee that any such forecasts will not be materially and adversely affected as a result.</w:t>
      </w:r>
    </w:p>
    <w:p>
      <w:pPr>
        <w:spacing w:after="0" w:line="28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fires, floods and other natural catastrophic events, global pandemics and interruptions by man-made problems, such as terrorism. Material disruptions of our business or information systems resulting from these events could adversely affect Aeva’s operating results.</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flood, hurricane or significant power outage or other similar events, such as infectious disease outbreaks or pandemic events, could have an adverse effect on Aeva’s business and operating results. Such natural disasters and pandemics may have the effect of heightening many of the other risks described in this “Risk Factors” section, such as the demand for Aeva’s products, our ability to achieve profitability and our ability to raise additional capital in the future. Aeva’s corporate headquarters and R&amp;D and current manufacturing and assembly base are located in the San Francisco Bay Area, a region known for seismic activity. In addition, natural disasters, acts of terrorism or war could cause disruptions in our remaining manufacturing operations, our or our customers’, suppliers’ or channel partners’ businesses, or the economy as a whole. We also rely on information technology systems to communicate among our workforce and with third parties. Any disruption to our communications, whether caused by a natural disaster or by manmade problems, such as power disruptions, could adversely affect our business. We do not have a formal disaster recovery plan or policy in place and do not currently require that our suppliers’ or other partners have such plans or policies in place. To the extent that any such disruptions result in delays or cancellations of orders or impede our suppliers’ ability to timely deliver product components, or the deployment of our products, Aeva’s business, operating results and financial condition would be adversely affected.</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or failure of Aeva’s information technology and communications systems could impact our ability to effectively provide our products and services.</w:t>
      </w:r>
    </w:p>
    <w:p>
      <w:pPr>
        <w:spacing w:after="0" w:line="5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plan to include services and functionality that utilize data connectivity to monitor performance and timely capture opportunities to enhance performance and functionality. The availability and effectiveness of</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Aeva’s services depend on the continued operation of information technology and communications systems. Aeva’s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Aeva’s systems. We utilize reputable third-party service providers or vendors for all of our data other than our source code, and these providers could also be vulnerable to harms similar to those that could damage Aeva’s systems, including sabotage and intentional acts of vandalism causing potential disruptions. Some of Aeva’s systems will not be fully redundant, and our disaster recovery planning cannot account for all eventualities. Any problems with Aeva’s third-party cloud hosting providers could result in lengthy interruptions in our business. In addition, Aeva’s services and functionality are highly technical and complex technology which may contain errors or vulnerabilities that could result in interruptions in our business or the failure of our systems.</w:t>
      </w:r>
    </w:p>
    <w:p>
      <w:pPr>
        <w:spacing w:after="0" w:line="29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operational systems, security systems, infrastructure, integrated software in our LiDAR products and customer data processed by Aeva or third-party vendors or suppliers and any material failure, weakness, interruption, cyber event, incident or breach of security could prevent us from effectively operating our business.</w:t>
      </w:r>
    </w:p>
    <w:p>
      <w:pPr>
        <w:spacing w:after="0" w:line="67"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We are at risk for interruptions, outages and breaches of operational systems, including business, financial, accounting, product development, data processing or production processes, owned by Aeva or our third-party vendors or suppliers; facility security systems, owned by Aeva or our third-party vendors or suppliers; in-product technology owned by Aeva or our third-party vendors or suppliers; the integrated software in Aeva’s products; or customer or driver data that Aeva processes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drivers or others; jeopardize the security of our facilities; or affect the performance of in-product technology and the integrated software in our products.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Aeva against intellectual property theft, data breaches and other cyber incidents, such measures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Aeva’s data management, procurement, production execution, finance, supply chain and sales and service processes. These risks may affect our ability to manage our data and inventory, procure parts or supplies or produce, sell, deliver and service our products,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we may be required to expend significant resources to make corrections or find alternative sources for performing these functions.</w:t>
      </w:r>
    </w:p>
    <w:p>
      <w:pPr>
        <w:spacing w:after="0" w:line="20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or litigation, any of which could materially affect Aeva’s business, prospects, financial condition and operating results. In addition, our insurance coverage for cyber-attacks may not be sufficient to cover all the losses we may experience as a result of a cyber incident.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2025, we had $607.4 million of U.S. federal and $356.1 million of state net operating loss carryforwards available to reduce future taxable income, of which $604.2 million will be carried forward indefinitely for U.S. federal tax purposes and the remainder of losses will expire beginning in 2036 for federal and 2031 for state tax purposes. We also have federal and California research and development tax credit carryforwards of $34.3 million and $23.9 million, respectively. The federal research credit carryforwards will expire in 2036 and California research credits can be carried forward indefinitely. It is possible that we will not generate taxable income in time to use these net operating loss carryforwards before their expiration or at all.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review of any potential limitation on the use of our net operating losses and credits under Sections 382 and 383 through December 31, 2025. Based on such review, we do not believe Section 382 and Section 383 will adversely impact our ability to use our current net operating losses and credits to offset future taxable income, if any. We may experience ownership changes in the future. To the extent we are not able to offset future taxable income with net operating losses, our cash flows may be adversely affected.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partnerships with third parties.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enter into strategic partnerships with third parties to enhance and extend our capabilities in the ordinary course of our business. Identifying partners, and negotiating and documenting relationships with them, requires significant time and resources.</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For example, in May 2025, we entered into a strategic collaboration with LGIT. As part of this collaboration, we entered into a joint development agreement with LGIT, with the goal of establishing a strategic partnership to bring Aeva’s 4D LiDAR into new industrial and consumer markets. In addition, we agreed to sell an aggregate of $32.5 million of shares of our common stock to LGIT, which closed in August 2025. We may never achieve or realize the anticipated financial and other benefits of the strategic partnership with LGIT. Additionally, the cash payments we receive from LGIT in connection with the non-recurring engineering services we perform under the strategic partnership cannot be recognized as revenue under GAAP.</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we are unsuccessful in establishing or maintaining strategic partnerships, or if our strategic partnerships fail to perform as expected, our ability to compete or to grow our revenue could be impaired, which could adversely affect our business, financial condition, and results of operations. Even if we are successful, we cannot assure you that these relationships will result in increased production of our products, development of new products, or increased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 laws and regulations. Our failure to comply with these laws and regulations could have an adverse effect on Aeva’s business, prospects, financial condition and results of operations.</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Aeva’s products and services are subject to export control and import laws and regulations, including the U.S. Export Administration Regulations, U.S. Customs regulations and various economic and trade sanctions regulations administered by the U.S. Treasury Department’s Office of Foreign Assets Controls. U.S. export control laws and regulations and economic sanctions prohibit the shipment of certain products and services to U.S. embargoed or sanctioned countries, governments and persons. In addition, complying with export control and sanctions regulations for a particular sale may be time-consuming and result in the delay or loss of sales opportunities. Exports of Aeva’s products and technology must be made in compliance with these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laws and regulations. If we fail to comply with these laws and regulations, we and certain of our employees could be subject to substantial civil or criminal penalties, including the possible loss of export or import privileges, fines, which may be imposed on Aeva and responsible employees or managers and, in extreme cases, the incarceration of responsible employees or managers.</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trade policy, tariffs and import/export regulations may have a material adverse effect on our business, financial condition and results of operations.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Changes in global political, regulatory and economic conditions or in laws and policies governing foreign trade, manufacturing, development and investment in the territories or countries where we may purchase components, sell our products or conduct our business could adversely affect our business. The United States has recently instituted or proposed changes in trade policies that include the negotiation or termination of trade agreements, the imposition of higher tariffs on imports into the United States, economic sanctions on individuals, corporations or countries, and other government regulations affecting trade between the United States and other countries where we conduct our business. A number of other nations have proposed or instituted similar measures directed at trade with the United States in response. Further, President Trump has proposed significantly increased tariffs on foreign imports into the United States, particularly from Canada, China and Mexico. It is unclear what action the presidential administration or Congress will take with respect to these proposals, or what actions may be taken by other countries in retaliation. As a result of these developments, there may be greater restrictions and economic disincentives on international trade that could adversely affect our business. For example, such changes could adversely affect the automotive market, our ability to access key components or raw materials needed to manufacture our products (including, but not limited to, rare-earth metals), our ability to sell our products to customers outside of the United States and the demand for our products. It may be time-consuming and expensive for us to alter our business operations to adapt to or comply with any such changes, and any failure to do so could have a material adverse effect on Aeva's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regulations affecting the automobile safety and autonomous driving markets.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Government vehicle safety regulations are a key driver in our business. Historically, these regulations have imposed ever more stringent safety regulations for vehicles. Safety regulations have a positive impact on driver awareness and acceptance of active safety products and technology. These more stringent safety regulations often require vehicles to have more safety contents per vehicle and more advanced safety products, including active safety and driver assistance technology, which is a growth driver for the Company.</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Changes in legislative, regulatory or industry requirements related to vehicle safety content may also render certain of our technologies or products obsolete or less attractive to our customers. Vehicle safety content requirements are subject to change based on a number of factors that are not within our control, including new scientific or medical data, adverse publicity regarding autonomous vehicles or technology, domestic and foreign political developments or considerations, and litigation relating to our products and our competitors’ products. Changes in government regulations in response to these and other considerations could have a severe impact on our business. If government priorities shift and we are unable to adapt to changing regulations, our business may suffer material adverse effects.</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regulatory obligation of complying with safety regulations could increase as federal and local regulators impose more stringent compliance and reporting requirements in response to product recalls, safety issues and product innovations in our industry. In the U.S., we are subject to the existing Transportation Recall Enhancement, Accountability and Documentation (TREAD) Act, which requires manufacturers to comply with “Early Warning” requirements by reporting to the National Highway Traffic Safety Administration (“NHTSA”) information related to defects or reports of death related to their products. TREAD imposes criminal liability for violating such requirements if a defect subsequently causes death or bodily injury. In addition, the National Traffic and Motor Vehicle Safety Act authorizes NHTSA to require a manufacturer to recall and repair vehicles that contain safety defects or fail to comply with federal motor vehicle safety standards. In September 2016, United States Department of Transportation issued a Federal Automated Vehicles Policy as agency guidance for comment rather than in a rulemaking in order to enable the delivery 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an initial regulatory framework and best practices to guide manufacturers and other entities in the safe design, development, testing, and deployment of highly automated vehicles. Since September 2016, the U.S. Department of Transportation has issued voluntary “guidance” for autonomous vehicle (AV) standards, including “Ensuring American Leadership in Automated Vehicle Technologies – Automated Vehicles 4.0” dated January 2020, to promote autonomous vehicle development. It is unknown when specific U.S. regulations for AVs may be released and what, if any, impact such regulations may have on us or our customers in terms of products, features and performance requirements.</w:t>
      </w:r>
    </w:p>
    <w:p>
      <w:pPr>
        <w:spacing w:after="0" w:line="18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As our technologies advance and develop beyond traditional automotive products, we may be subject to regulatory regimes beyond traditional vehicle safety rules and requirements. As a result, we may not identify all regulatory licenses or permits required for our products, or our products may operate beyond the scope of the licenses and permits we have obtained. Failing to obtain the required licenses, permits or other regulatory authorizations could result in investigations, fines or other penalties or proceedings. If any of the regulatory risks described above materialize, it could have a material adverse effect on our business, results of operations and financial condition.</w:t>
      </w:r>
    </w:p>
    <w:p>
      <w:pPr>
        <w:spacing w:after="0" w:line="28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and regulatory proceedings and commercial or contractual disputes from time to time, which could have an adverse effect on our profitability and financial position.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been, and may be from time to time, involved in litigation, regulatory proceedings and commercial or contractual disputes that may be significant. These matters may include, without limitation, disputes with our suppliers and customers, intellectual property claims, stockholder litigation (including the Delaware Stockholder Litigation), government investigations, class action lawsuits, personal injury claims, environmental issues, customs and value-added tax disputes and employment and tax issues. In addition, we could face in the future a variety of labor and employment claims against us, which could include general discrimination, wage and hour, privacy, ERISA or disability claims. In such matters, government agencies or private parties may seek to recover very large, indeterminate amounts in penalties or monetary damages (including, in some cases, treble or punitive damages) or seek to limit our operations in some way. These types of lawsuits could require significant management time and attention or could involve substantial legal liability, adverse regulatory outcomes, and/or substantial expenses to defend. Often these cases raise complex factual and legal issues and create risks and uncertainties. No assurances can be given that any proceedings and claims will not have a material adverse impact on Aeva’s operating results and financial position or that our established reserves or available insurance will mitigate this impact. For example, in connection with the Delaware Stockholder Litigation settlement, we paid a total settlement cost of $14.0 million in exchange for a release of all claims and received $2.5 million from our insurance carrier.</w:t>
      </w:r>
    </w:p>
    <w:p>
      <w:pPr>
        <w:spacing w:after="0" w:line="294"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must remain in compliance with, numerous laws and governmental regulations across various jurisdictions concerning the manufacturing, use, distribution and sale of our products. Some of our customers also require that we comply with their own unique requirements relating to these matters.</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manufacture and sell products that contain electronic components, and such components may contain materials that are subject to government regulation in both the locations where we manufacture and assemble our products, as well as the locations where we sell our products. For example, certain regulations limit the use of lead in electronic components. Since we operate on a global basis, this is a complex process which requires continual monitoring of regulations and an ongoing compliance process to ensure that Aeva and our suppliers are in compliance with existing regulations in each market where we operate. If there is an unanticipated new regulation that significantly impacts our use and sourcing of various components or requires more expensive components, that regulation could materially adversely affect our business, results of operations and financial condition.</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products are used for AD and ADAS applications, which are subject to complicated regulatory schemes that vary from jurisdiction to jurisdiction. These are rapidly evolving areas where new regulations could impose limitations on the use of LiDAR generally or Aeva’s products specifically. If we fail to adhere to these new regulations or to continually monitor relevant updates, we may be subject to litigation, loss of customers or negative publicity and Aeva's business, results of operations and financial condition will be adversely affected.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environmental laws and regulations that could impose substantial costs.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In addition, as climate change issues become more prevalent, foreign, federal, state and local governments and our customers have been responding to these issues. The increased focus on environmental sustainability may result in new regulations and customer requirements, or changes in current regulations and customer requirements, which could materially adversely impact our business, results of operations and financial condition. If we are unable to effectively manage real or perceived issues, including concerns about environmental impacts or similar matters, sentiments toward Aeva or our products could be negatively impacted, and our business, results of operations or financial condition could suffer.</w:t>
      </w:r>
    </w:p>
    <w:p>
      <w:pPr>
        <w:spacing w:after="0" w:line="1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operations are subject to international, federal, state and local environmental laws and regulations, which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may require us to reduce product energy usage, monitor and exclude an expanding list of restricted substances and to participate in required recovery and recycling of our products. Environmental and health and safety laws and regulations can be complex, and we have limited experience complying with them. Capital and operating expenses needed to comply with environmental laws and regulations can be significant, and violations may result in substantial fines and penalties, third-party damages, suspension of production, or cessation of our operations.</w:t>
      </w:r>
    </w:p>
    <w:p>
      <w:pPr>
        <w:spacing w:after="0" w:line="18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Contamination at properties we operate or formerly operated, or to which hazardous substances were sent by us, may result in liability for Aeva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Aeva’s financial condition or operating results. We may face unexpected delays in obtaining the required permits and approvals in connection with any planned production facilities that could require significant time and financial resources and delay our ability to operate these facilities, which would adversely impact Aeva’s business, prospects, financial condition and operating results.</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which can harm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U.S. domestic bribery statute contained in 18 U.S.C. § 201, the U.S. Travel Act, the USA PATRIOT Act and possibly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changes in automotive, consumer electronics, LiDAR sensor and laser safety regulations or concerns that drive further regulation of the automobile, consumer electronics, LiDAR sensor and laser markets.</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Government product safety regulations are an important factor for Aeva’s business. Historically, these regulations have imposed ever-more stringent safety regulations for vehicles and laser products. These safety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often require, or customers demand that, vehicles have more safety features per vehicle and more advanced safety products.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While we believe increasing automotive and laser safety standards will present a market opportunity for our products, government safety regulations are subject to change based on a number of factors that are not within our control, including, among others, new scientific or technological data, adverse publicity regarding the industry recalls and safety risks of AD and ADAS, accidents involving our products, domestic and foreign political developments or considerations, and litigation relating to our products and our competitors’ products. Changes in automotive, consumer electronics, LiDAR sensor and laser safety government regulations, especially in the AD and ADAS industries, could adversely affect our business. If government priorities shift and we are unable to adapt to changing regulations, our business may be materially and adversely affected.</w:t>
      </w:r>
    </w:p>
    <w:p>
      <w:pPr>
        <w:spacing w:after="0" w:line="18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Federal and local regulators impose more stringent compliance and reporting requirements in response to product recalls and safety issues in the automotive and laser industry. As cars that carry our sensors go into production, the obligations of complying with safety regulations and reporting requirements could increase and it could require increased resources and adversely affect Aeva’s business.</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Autonomous and ADAS features may be delayed in adoption by OEMs, and Aeva’s business impacted, as additional emissions and safety requirements are imposed on vehicle manufacturers.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Vehicle regulators globally continue to consider new and enhanced emissions requirements, including electrification, to meet environmental and economic needs as well as pursue new safety standards to address emerging traffic risks. To control new vehicle prices, among other concerns, OEMs may need to dedicate technology and cost additions to new vehicle designs to meet these emissions and safety requirements and postpone the consumer cost pressures of new autonomous and ADAS features, which could adversely affect Aeva's business.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Aeva’s business may be adversely affected if we fail to comply with the regulatory requirements under the Federal Food, Drug, and Cosmetic Act or the Food and Drug Administration (the “FDA”).</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a LiDAR technology company, we are subject to the Electronic Product Radiation Control Provisions of the Federal Food, Drug, and Cosmetic Act. These requirements are enforced by the FDA. Electronic product radiation includes laser technology. Regulations governing these products are intended to protect the public from hazardous or unnecessary exposure. Manufacturers are required to certify in product labeling and reports to the FDA that their products comply with applicable performance standards as well as maintain manufacturing, testing, and distribution records for their products. Failure to comply with these requirements could result in enforcement action by the FDA, which could require us to cease distribution of our products, recall or remediate products already distributed to customers, or subject us to FDA enforcement.</w:t>
      </w:r>
    </w:p>
    <w:p>
      <w:pPr>
        <w:spacing w:after="0" w:line="291"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current and potential future operations and sales subject us to laws and regulations addressing privacy and the collection, use, storage, disclosure, transfer and protection of a variety of types of data. For example, the European Commission has adopted the General Data Protection Regulation and California and other states have proposed or adopted privacy laws and regulations. Aspects of these new and emerging state privacy laws and regulations, as well as their interpretation and enforcement, are dynamic and evolving. These laws and regulations each require particular assessment for compliance, and we may be required to modify our practices in an effort to comply with them. These regimes may, among other things, provide for potentially material penalties for non-compliance, impose data security requirements, disclosure requirements, and restrictions on data collection, uses, and sharing that may impact our operations and the development of our business. We have limited access to, collect, store, process, or share certain information collected by our products, and our products may evolve to collect additional information. Therefore, the full impact of these privacy regimes on our business is rapidly evolving across jurisdictions and remains uncertain at this time.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94"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We may also be affected by cyber-attacks and other means of gaining unauthorized access to our products, systems, and data. For instance, cybercriminals or insiders may target Aeva or third parties with which we have business relationships to obtain data, or in a manner that disrupts our operations or compromises our products or the systems into which our products are integrated.</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assessing the continually evolving privacy and data security regimes and measures we believe are appropriate in response. Since these data security regimes are evolving, uncertain and complex, especially for a global business like ours, we may need to update or enhance our compliance measures as our products, markets and customer demands further develop, and these updates or enhancements may require implementation costs. In addition, we may not be able to monitor and react to all developments in a timely manner. The compliance measures we adopt may prove ineffective. Any failure, or perceived failure, by Aeva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Aeva,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customers and business partners to lose trust in Aeva, which could have an adverse effect on our reputation and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Aeva’s Intellectual Property</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enforce our intellectual property rights or prevent unauthorized parties from copying or reverse engineering our products or technology. Our efforts to protect and enforce our intellectual property rights and prevent third parties from violating our rights may be costly.</w:t>
      </w:r>
    </w:p>
    <w:p>
      <w:pPr>
        <w:spacing w:after="0" w:line="67"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success of our products and business depend in part on our ability to obtain patents and other intellectual property rights and maintain adequate legal protection for our products in the United States and other international jurisdictions. We rely on a combination of patent, service mark, trademark and trade secret laws, as well as confidentiality procedures and contractual restrictions, to establish and protect our proprietary rights, all of which provide only limited protection.</w:t>
      </w:r>
    </w:p>
    <w:p>
      <w:pPr>
        <w:spacing w:after="0" w:line="1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cannot assure you that any patents will be issued with respect to our currently pending patent applications or that any trademarks will be registered with respect to our currently pending applications in a manner that gives Aeva adequate defensive protection or competitive advantages, if at all, or that any patents issued to Aeva or any trademarks registered by us will not be challenged, invalidated or circumvented. We may file for patents and trademarks in the United States and in certain international jurisdictions, but such protections may not be available in all countries in which we operate or in which we seek to enforce our intellectual property rights, or may be difficult to enforce in practice. For example, the legal environment relating to intellectual property protection in certain emerging market countries where we may operate in the future is relatively weaker, often making it difficult to create and enforce such rights. Our currently-registered trademarks and any patents and trademarks that may be issued or registered, as applicable, in the future with respect to pending or future applications may not provide sufficiently broad protection or may not prove to be enforceable in actions against alleged infringers. Our foreign intellectual property portfolio is not as comprehensive as our U.S. intellectual property portfolio and may not protect our intellectual property in some countries where our products are sold or may be sold in the future. We cannot be certain that the steps we have taken will prevent unauthorized use of our technology or the reverse engineering of our technology. Moreover, others may independently develop technologies that are competitive to Aeva or infringe Aeva’s intellectual property.</w:t>
      </w:r>
    </w:p>
    <w:p>
      <w:pPr>
        <w:spacing w:after="0" w:line="19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Protecting against the unauthorized use of Aeva’s intellectual property, products and other proprietary rights is expensive and difficult, particularly internationally. We believe that our intellectual property is foundational in the area of LiDAR products and intend to enforce the intellectual property portfolio we have built over the years. Unauthorized parties may attempt to copy or reverse engineer Aeva’s LiDAR technology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or certain aspects of Aeva’s products that we consider proprietary. Litigation may be necessary in the future to enforce or defend Aeva’s intellectual property rights, to prevent unauthorized parties from copying or reverse engineering our products or technology to determine the validity and scope of the proprietary rights of others or to block the importation of infringing products into the United States.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Any such litigation, whether initiated by Aeva or a third party, could result in substantial costs and diversion of management resources, either of which could adversely affect Aeva’s business, operating results and financial condition. Even if we obtain favorable outcomes in litigation, we may not be able to obtain adequate remedies, especially in the context of unauthorized parties copying or reverse engineering our products or technology.</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Further, many of our current and potential competitors have the ability to dedicate substantially greater resources to defending intellectual property infringement claims and to enforcing their intellectual property rights than we have. Attempts to enforce our rights against third parties could also provoke these third parties to assert their own intellectual property or other rights against Aeva or result in a holding that invalidates or narrows the scope of our rights, in whole or in part. Effective patent, trademark, service mark, copyright and trade secret protection may not be available in every country in which Aeva’s products are available and competitors based in other countries may sell infringing products in one or more markets. Failure to adequately protect our intellectual property rights could result in our competitors offering similar products, potentially resulting in the loss of some of our competitive advantage and a decrease in revenue, which would adversely affect Aeva’s business, operating results, financial condition and prospects.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that Aeva is infringing intellectual property, whether successful or not, could subject us to costly and time-consuming litigation or expensive licenses, and our business could be adversely affected.</w:t>
      </w:r>
    </w:p>
    <w:p>
      <w:pPr>
        <w:spacing w:after="0" w:line="5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Although we have applied for patents related to our products, a number of companies, both within and outside of the LiDAR industry, hold patents covering aspects of LiDAR products. In addition to these patents, participants in this industry typically also protect their technology, especially embedded software, through copyrights and trade secrets. As a result, there is frequent litigation based on allegations of infringement, misappropriation or other violations of intellectual property rights. We may in the future receive inquiries from other intellectual property holders and become subject to claims that we infringe their intellectual property rights, particularly as we expand our presence in the market, expand to new use cases and face increasing competition. In addition, parties may claim that the names and branding of Aeva’s products infringe their trademark rights in certain countries or territories. If such a claim were to prevail, we may have to change the names and branding of our products in the affected territories and could incur other costs.</w:t>
      </w:r>
    </w:p>
    <w:p>
      <w:pPr>
        <w:spacing w:after="0" w:line="17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currently have a number of agreements in effect pursuant to which we have agreed to defend, indemnify and hold harmless our customers, suppliers, and channel partners and other counterparties from damages and costs which may arise from the infringement by Aeva’s products of third-party patents or other intellectual property rights. The scope of these indemnity obligations varies, but may, in some instances, include indemnification for damages and expenses, including attorneys’ fees. Our insurance may not cover all intellectual property infringement claims. A claim that our products infringe a third party’s intellectual property rights, even if untrue, could adversely affect our relationships with our customers, may deter future customers from purchasing our products and could expose us to costly litigation and settlement expenses. Even if Aeva is not a party to any litigation between a customer and a third party relating to infringement by our products, an adverse outcome in any such litigation could make it more difficult for us to defend our products against intellectual property infringement claims in any subsequent litigation in which Aeva is a named party. Any of these results could adversely affect Aeva’s brand and operating results.</w:t>
      </w:r>
    </w:p>
    <w:p>
      <w:pPr>
        <w:spacing w:after="0" w:line="188" w:lineRule="exact"/>
        <w:rPr>
          <w:sz w:val="20"/>
          <w:szCs w:val="20"/>
          <w:color w:val="auto"/>
        </w:rPr>
      </w:pPr>
    </w:p>
    <w:p>
      <w:pPr>
        <w:ind w:right="220" w:firstLine="509"/>
        <w:spacing w:after="0" w:line="277" w:lineRule="auto"/>
        <w:rPr>
          <w:sz w:val="20"/>
          <w:szCs w:val="20"/>
          <w:color w:val="auto"/>
        </w:rPr>
      </w:pPr>
      <w:r>
        <w:rPr>
          <w:rFonts w:ascii="Times New Roman" w:cs="Times New Roman" w:eastAsia="Times New Roman" w:hAnsi="Times New Roman"/>
          <w:sz w:val="17"/>
          <w:szCs w:val="17"/>
          <w:color w:val="auto"/>
        </w:rPr>
        <w:t>We may in the future need to initiate infringement claims or litigation in order to try to protect our intellectual property rights. In addition to litigation where Aeva is a plaintiff, our defense of intellectual property rights claims brought against us or our customers, suppliers and channel partners, with or without merit, could be time-consuming, expensive to litigate or settle, divert management resources and attention and force us to acquire intellectual property rights and licenses, which may involve substantial royalty or other payments and may not be available on acceptable terms or at all. Further, a party making such a claim, if successful, could secure a judgment that requires us to pay substantial damages or obtain an injunction. We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may also lose the opportunity to license our technology to others or to collect royalty payments. An adverse determination could also invalidate or narrow Aeva’s intellectual property rights and adversely affect our ability to offer our products to customers and may require that we procure or develop substitute products, which could require significant effort and expense. Any of these events could adversely affect Aeva’s business, reputation, operating results, financial condition and prospects.</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and Amended and Restated Bylaws provide that we will indemnify our directors and officers, in each case to the fullest extent permitted by Delaware law.</w:t>
      </w:r>
    </w:p>
    <w:p>
      <w:pPr>
        <w:spacing w:after="0" w:line="160" w:lineRule="exact"/>
        <w:rPr>
          <w:sz w:val="20"/>
          <w:szCs w:val="20"/>
          <w:color w:val="auto"/>
        </w:rPr>
      </w:pPr>
    </w:p>
    <w:p>
      <w:pPr>
        <w:ind w:right="7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 addition, as permitted by Section 145 of the Delaware General Corporation Law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“DGCL”), the Amended and Restated Bylaws and the indemnification agreements that we have entered into with our directors and officers provide that:</w:t>
      </w:r>
    </w:p>
    <w:p>
      <w:pPr>
        <w:spacing w:after="0" w:line="52" w:lineRule="exact"/>
        <w:rPr>
          <w:sz w:val="20"/>
          <w:szCs w:val="20"/>
          <w:color w:val="auto"/>
        </w:rPr>
      </w:pPr>
    </w:p>
    <w:p>
      <w:pPr>
        <w:ind w:left="1020" w:right="1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advance expenses, as incurred, to our directors and officers in connection with defending a proceeding, except that such directors or officers shall undertake to repay such advances if we are ultimately determined that such person is not entitled to indemnification;</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or brought to enforce a right to indemnification;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Amended and Restated Bylaws are not exclusive, and we are authorized to enter into indemnification agreements</w:t>
      </w:r>
    </w:p>
    <w:p>
      <w:pPr>
        <w:spacing w:after="0" w:line="63" w:lineRule="exact"/>
        <w:rPr>
          <w:rFonts w:ascii="Times New Roman" w:cs="Times New Roman" w:eastAsia="Times New Roman" w:hAnsi="Times New Roman"/>
          <w:sz w:val="18"/>
          <w:szCs w:val="18"/>
          <w:color w:val="auto"/>
        </w:rPr>
      </w:pPr>
    </w:p>
    <w:p>
      <w:pPr>
        <w:ind w:left="1020" w:right="2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our directors, officers, employees and agents and to obtain insurance to indemnify such persons; and we may not retroactively amend our Amended and Restated Bylaw provisions to reduce our indemnification obligations to directors, officers, employees and agents.</w:t>
      </w:r>
    </w:p>
    <w:p>
      <w:pPr>
        <w:spacing w:after="0" w:line="253"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intellectual property applications, including patent applications, may not be approved or granted or may take longer than expected to result in approval or grant, which may have a material adverse effect on our ability to prevent others from commercially exploiting products similar to Aeva’s.</w:t>
      </w:r>
    </w:p>
    <w:p>
      <w:pPr>
        <w:spacing w:after="0" w:line="2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cannot be certain that we are the first inventor of the subject matter to which we have filed a particular patent application, or if we are the first party to file such a patent application. If another party has filed a patent application to the same subject matter as we have, we may not be entitled to the protection sought by the patent application. We also cannot be certain whether the claims included in a patent application will ultimately be allowed in the applicable issued patent or the timing of any approval or grant of a patent application. Further, the scope of protection of issued patent claims is often difficult to determine. As a result, we cannot be certain that the patent applications that we file will issue, or that our issued patents will afford protection against competitors with similar technology. In addition, our competitors may design around our registered or issued intellectual property, which may adversely affect Aeva’s business, prospects, financial condition and operating results.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designs, experiences, workflows, data, processes, and know-how.</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rely on proprietary information (such as trade secrets, designs, experiences, workflows, data, know-how and confidential information) to protect intellectual property that may not be patentable or subject to</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copyright, trademark, trade dress or service mark protection,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and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current or future manufacturing counterparties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Aeva,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19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it cannot guarantee that these security measures will not be breached or provide adequate protection.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spacing w:after="0" w:line="2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Aeva or our current or former employees have wrongfully used or disclosed alleged trade secrets of current or former employees’ former employers.</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may be subject to claims that Aeva or our current or former employees have inadvertently or otherwise used or disclosed trade secrets or other proprietary information of a current or former employee’s former employers. Litigation may be necessary to defend against these claims. If we fail in defending such claims, in addition to paying monetary damages, we may lose valuable intellectual property rights or personnel. A loss of key personnel or their work product could hamper or prevent our ability to commercialize our products, which could severely harm our business. Even if we are successful in defending against these claims, litigation could result in substantial costs and demand on management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required to maintain effective internal control over financial reporting. If we are unable to maintain such controls, investor confidence may be adversely affected and, as a result, the value of our common stock could decline.</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We have in the past and may in the future identify material weaknesses and deficiencies in our internal controls over financial reporting. A material weakness is a deficiency or combination of deficiencies in internal control over financial reporting such that there is a reasonable possibility that a material misstatement of the company’s financial statements would not be prevented or detected on a timely basis. We cannot be certain that material weaknesses and control deficiencies will not occur in the future or that the measures we have taken to date, and actions we may take in the future, will be sufficient to prevent or avoid potential future material weaknesses. If material weaknesses are identified in the future, or if we are not able to comply with the requirements of Section 404 of the Sarbanes-Oxley Act, our reported financial results could be materially misstated and we could be subject to investigations or sanctions by regulatory authorities, which would require additional financial and management resources, and the value of our common stock could decline. To the extent we identify future weaknesses or deficiencies, there could be material misstatements in our consolidated financial statements and we could fail to meet our financial reporting obligations. The identification of such a material weakness could materially and adversely affect our business, our financial condition and the value of our common stock. If we are unable to assert that our internal control over financial reporting is effective 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31F20"/>
        </w:rPr>
        <w:t>the future, investor confidence in the accuracy and completeness of our financial reports could be further eroded, which would have a material adverse effect on the price of our common stock.</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incurring, and will continue to incur, significant increased expenses and administrative burdens as a public company, which could have an adverse effect on our business, financial condition and results of operations.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We are facing, and will continue to face, increased legal, accounting, administrative and other costs and expenses as a public company that Aeva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thereunder, the PCAOB and the securities exchanges, impose additional reporting and other obligations on public companies. Compliance with public company requirements makes certain activities more costly and time-consuming. Furthermore, if any issues in complying with those requirements are identified, we could incur additional costs, and the existence of those issues could adversely affect our reputation or investor perceptions. The rules and regulations applicable to public companies have made it more expensive for us to obtain director and officer liability insurance. Risks associated with our status as a public company may make it more difficult to attract and retain qualified persons to serve on the Board or as executive officers. The additional reporting and other obligations imposed by these rules and regulations have increased, and will continue to increase, legal and financial compliance costs and the costs of related legal, accounting and administrative activities. These increased costs have required, and will continue to require, Aeva to divert a significant amount of money and management attention that could otherwise be used to expand the business and achieve strategic objectives. Advocacy efforts by stockholders and third parties, and changes in regulatory practice and guidance, may also prompt additional changes in governance and reporting requirements, which could further increase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Aeva’s management team has limited experience managing and operating a public company.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Most of the members of Aeva’s management team have limited experience managing and operating a publicly traded company, interacting with public company investors, and complying with the increasingly complex laws pertaining to public companies. Aeva’s management team may not successfully or efficiently manage their roles and responsibilities. Aeva’s transition to being a public company has subjected us to significant regulatory oversight and reporting obligations under the federal securities laws and the continuous scrutiny of securities analysts and investors. These obligations and constituents require significant attention from Aeva’s senior management and may divert their attention from the day-to-day management of our business. We may need to continue to hire additional employees to support our operations as a public company, particularly with the appropriate level of knowledge, experience, and training in the accounting policies, practices or internal controls over financial reporting required of public companies, which would increase our operating costs in future periods. These factors could adversely affect our business, financial condition, and operating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There can be no assurance that we will be able to comply with the continued listing requirements of NASDAQ.</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231F20"/>
        </w:rPr>
        <w:t>If we fail to satisfy the continued listing requirements of NASDAQ, NASDAQ may take steps to delist our securities. Such a delisting would likely have a negative effect on the price of the securities and would impair the ability of stockholders to sell or purchase their securities.</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231F20"/>
        </w:rPr>
        <w:t>If NASDAQ delists Aeva’s shares from trading on its exchange, Aeva and its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limited availability of market quotations for Aeva’s securities;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reduced liquidity for Aeva’s securities;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6" w:lineRule="exact"/>
        <w:rPr>
          <w:sz w:val="20"/>
          <w:szCs w:val="20"/>
          <w:color w:val="auto"/>
        </w:rPr>
      </w:pPr>
    </w:p>
    <w:p>
      <w:pPr>
        <w:ind w:left="1020" w:right="100" w:hanging="503"/>
        <w:spacing w:after="0" w:line="312" w:lineRule="auto"/>
        <w:tabs>
          <w:tab w:leader="none" w:pos="102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determination that Aeva’s common stock is a “penny stock” which will require brokers trading in Aeva’s common stock to adhere to more stringent rules, possibly resulting in a reduced level of trading activity in the secondary trading market for shares of Aeva’s common stock;</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limited amount of analyst coverage;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decreased ability to issue additional securities or obtain additional financing in the future.</w:t>
      </w:r>
    </w:p>
    <w:p>
      <w:pPr>
        <w:spacing w:after="0" w:line="3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Regulations related to conflict minerals may cause Aeva to incur additional expenses and could limit the supply and increase the costs of certain metals used in the manufacturing of our products.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We are subject to the requirements under the Dodd-Frank Wall Street Reform and Consumer Protection Act of 2010, or the Dodd-Frank Act, which require us to determine, disclose and report whether Aeva’s products contain conflict minerals. These requirements could adversely affect the sourcing, availability and pricing of the materials used in the manufacture of components used in Aeva’s products. In addition, we will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It is also possible that our reputation may be adversely affected if we determine that certain of our products contain minerals not determined to be conflict-free or if we are unable to alter our products, processes or sources of supply to avoid use of such materials.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our ability to produce timely and accurate financial statements or comply with applicable regulations could be adversely affected.</w:t>
      </w:r>
    </w:p>
    <w:p>
      <w:pPr>
        <w:spacing w:after="0" w:line="51"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231F20"/>
        </w:rPr>
        <w:t>We are subject to the reporting requirements of the Exchange Act, the Sarbanes-Oxley Act and the rules and regulations of the NASDAQ Stock Market (“NASDAQ”). We expect that the requirements of these rules and regulations will continue to increase our legal, accountin</w:t>
      </w:r>
      <w:r>
        <w:rPr>
          <w:rFonts w:ascii="Times New Roman" w:cs="Times New Roman" w:eastAsia="Times New Roman" w:hAnsi="Times New Roman"/>
          <w:sz w:val="18"/>
          <w:szCs w:val="18"/>
          <w:color w:val="000000"/>
        </w:rPr>
        <w:t>g and financial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and to furnish a report by management on the effectiveness of our internal control over financial reporting pursuant to Section 404 of The Sarbanes-Oxley Act (“Section 404”). As a result of no longer qualifying as an “emerging growth company” and becoming a large accelerated filer, we would also be required to comply with, among other requirements, the auditor attestation requirements of Section 404 for the year ending December 31, 2026 unless we qualify as a small reporting company.</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In order to maintain and improve the effectiveness of our controls and procedures we have expended, and expect that we will </w:t>
      </w:r>
      <w:r>
        <w:rPr>
          <w:rFonts w:ascii="Times New Roman" w:cs="Times New Roman" w:eastAsia="Times New Roman" w:hAnsi="Times New Roman"/>
          <w:sz w:val="18"/>
          <w:szCs w:val="18"/>
          <w:color w:val="000000"/>
        </w:rPr>
        <w:t>continue to expend,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significant resources, including accounting-related costs, and provide significant management oversight, as we continue to refine our controls and procedures to comply with the demands placed upon us as a public company, including the requirements of Section 404. Our current controls and any new controls that we develop may be inadequate. Further, weaknesses or deficiencies in our internal controls have been identified in the past and may be discovered in the future. Any failure to develop or maintain effective controls, or any difficulties encountered in their implementation or improvement, could adversely affect our operating results or cause us to fail to meet reporting obligations and may result in a restatement of our financial statements. Ineffective controls and procedures could also result in loss of investor confidence in the accuracy and completeness of our financial reports and a decline in our stock price, and we could be subject to sanctions or investigations by the SEC or other regulatory authorities.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Convertible Notes</w:t>
      </w:r>
    </w:p>
    <w:p>
      <w:pPr>
        <w:spacing w:after="0" w:line="117"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substantial indebtedness that may decrease our business flexibility, access to capital, and/or increase our borrowing costs, which may adversely affect our operations and financial results.</w:t>
      </w:r>
    </w:p>
    <w:p>
      <w:pPr>
        <w:spacing w:after="0" w:line="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November 2025, we issued $100.0 million aggregate principal amount of the Notes to the Apollo Funds. These Notes are guaranteed by a wholly owned subsidiary of ours. Our indebtedness may: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86"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or other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purposes;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use our cash flow or obtain additional financing for future working capital, capital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acquisitions or other general business purposes;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substantial portion of our cash flow from operations to make debt service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less leveraged competitors;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and industry conditions.</w:t>
      </w:r>
    </w:p>
    <w:p>
      <w:pPr>
        <w:spacing w:after="0" w:line="22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Interest on the Notes is payable semi-annually in arrears on May 15 and November 15, and the Notes will mature on November 15, 2032, unless redeemed, repurchased or converted in accordance with their terms prior to such date. We can elect to make any interest payment in cash, in shares of common stock, or any combination thereof.</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Further, the indenture governing the Notes does not restrict our ability to incur additional indebtedness and we and our subsidiaries may incur substantial additional indebtedness in the future, subject to the restrictions contained in any future debt instruments existing at the time, some of which may be secured indebtedness.</w:t>
      </w:r>
    </w:p>
    <w:p>
      <w:pPr>
        <w:spacing w:after="0" w:line="280" w:lineRule="exact"/>
        <w:rPr>
          <w:sz w:val="20"/>
          <w:szCs w:val="20"/>
          <w:color w:val="auto"/>
        </w:rPr>
      </w:pPr>
    </w:p>
    <w:p>
      <w:pPr>
        <w:jc w:val="both"/>
        <w:ind w:right="2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currently intend to service the Notes by making interest payments in shares of our common stock. Nevertheless, we may not have sufficient cash flow from our business to pay our outstanding debt, and we may not have the funds or the ability to raise the funds necessary to settle conversions of the Notes in cash or to repurchase the Notes upon a fundamental change, which could each adversely affect our business and results of operations.</w:t>
      </w:r>
    </w:p>
    <w:p>
      <w:pPr>
        <w:spacing w:after="0" w:line="4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currently intend to service the Notes by making interest payments in shares of our common stock. Nevertheless, our ability to make scheduled payments of the principal of, to pay interest in cash on, or to refinance our indebtedness, including the amounts payable under the Notes, depends on our future performance, which is subject to economic, financial, competitive, and other factors beyond our control. Our business may not continue to generate cash flow from operations in the future sufficient to service our indebtedness and make necessary capital expenditures. If we are unable to generate such cash flow, we may be required to satisfy our obligations under the Notes by paying interest in shares of our common stock or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Further, holders of the Notes have the right to require us to repurchase all or a portion of their Notes upon the occurrence of a “fundamental change” (as defined in the indenture governing the Notes) before the maturity date at a repurchase price equal to 100% of the principal amount of the Notes to be repurchased, plus accrued and unpaid interest, if any. However, we may not have enough available cash, or be able to obtain sufficient financing, at a time we are required to repurchase the Notes.</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addition, upon conversion of the Notes, unless we elect to deliver solely shares of our common stock to settle such conversion (other than paying cash in lieu of delivering any fractional share), we will be required to make cash payments in respect of the Notes being converted.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29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or ASU 2020-06 , with the intent to simplify ASC 470-20 and ASC subtopic 815-40, Contracts in Entity’s Own Equity, or ASC 815-40. Among the changes, ASU 2020-06 removed the requirement to bifurcate the liability and equity components of convertible debt instruments (such as the Convertible Notes) that may be settled entirely or partially in cash upon conversion. In addition, ASU 2020-06 precludes the use of the treasury stock method, when calculating diluted earnings per share, for convertible debt instruments that may be settled entirely or partially in cash upon conversion.</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currently apply the “if-converted” method for calculating any potential dilutive effect of the conversion options embedded in the Convertible Notes on diluted net income per share, which assumes that all of the Convertible Notes were converted solely into shares of common stock at the beginning of the reporting period, unless the result would be anti-dilutive. The application of the if-converted method may reduce our reported diluted net income per share to the extent we are profitable, and accounting standards may change in the future in a manner that may otherwise adversely affect our diluted net income per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Notes, when triggered, may adversely affect our financial condition and operating results.</w:t>
      </w:r>
    </w:p>
    <w:p>
      <w:pPr>
        <w:spacing w:after="0" w:line="121"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The Notes are convertible at the option of their holders at any time prior to the close of business on the “Scheduled Trading Day” (as defined in the indenture governing the notes) immediately preceding November 15, 2032. During periods for which the conditional conversion feature has been or is triggered, holders of the Convertible Notes are entitled to convert their Notes at any time during such periods at their option. If one or more holders elect to convert their Notes, unless we choose to satisfy our conversion obligation by delivering solely shares of our common stock (other than paying cash in lieu of delivering any fractional share), we would elect to settle a portion or all of our conversion obligation in cash, which could adversely affect our liquidity.</w:t>
      </w:r>
    </w:p>
    <w:p>
      <w:pPr>
        <w:spacing w:after="0" w:line="16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or securities analysts, the market price of Aeva's securities may decline.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do not meet the expectations of investors or securities analysts, the market price of Aeva's securities may decline. In addition, fluctuations in the price of Aeva’s securities could contribute to the loss of all or part of your investment. The trading price of Aeva’s securities has been and could continue to be volatile and subject to wide fluctuations in response to various factors, some of which are beyond our control. Any of the factors listed below could have a material adverse effect on your investment in Aeva’s securities and Aeva’s securities may trade at prices significantly below the price you paid for them. In such circumstances, the trading price of Aeva’s securities may not recover and may experience a further decline. Factors affecting the trading price of Aeva’s securities may include:</w:t>
      </w:r>
    </w:p>
    <w:p>
      <w:pPr>
        <w:spacing w:after="0" w:line="93"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actual or anticipated fluctuations in Aeva’s quarterly financial results or the quarterly financial results of companies perceived to be similar to us;</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the market’s expectations about the Aeva’s operating results;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success of competitors;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Aeva’s operating results failing to meet the expectation of securities analysts or investors in a particular period;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99"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financial estimates and recommendations by securities analysts concerning Aeva or the transportation industry in general;</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operating and share price performance of other companies that investors deem comparable to Aeva;</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market new and enhanced products and technologies on a timely basis;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laws and regulations affecting our business;</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meet compliance requirements;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commencement of, or involvement in, litigation involving Aeva;</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Aeva’s capital structure, such as future issuances of securities or the incurrence of additional debt;</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obtain financing as needed;</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announcements by Aeva or our competitors of significant investments, acquisitions or dispositions;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volume of Aeva’s shares of common stock available for public sale;</w:t>
      </w:r>
    </w:p>
    <w:p>
      <w:pPr>
        <w:spacing w:after="0" w:line="144"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major change in the Board or management;</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overall market fluctuations;</w:t>
      </w:r>
    </w:p>
    <w:p>
      <w:pPr>
        <w:spacing w:after="0" w:line="13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decline in the automotive and industrial markets;</w:t>
      </w:r>
    </w:p>
    <w:p>
      <w:pPr>
        <w:spacing w:after="0" w:line="144" w:lineRule="exact"/>
        <w:rPr>
          <w:rFonts w:ascii="Times New Roman" w:cs="Times New Roman" w:eastAsia="Times New Roman" w:hAnsi="Times New Roman"/>
          <w:sz w:val="16"/>
          <w:szCs w:val="16"/>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sales of substantial amounts of Aeva’s common stock by our directors, executive officers or significant stockholders or the perception that such sales could occur; and</w:t>
      </w:r>
    </w:p>
    <w:p>
      <w:pPr>
        <w:spacing w:after="0" w:line="67" w:lineRule="exact"/>
        <w:rPr>
          <w:rFonts w:ascii="Times New Roman" w:cs="Times New Roman" w:eastAsia="Times New Roman" w:hAnsi="Times New Roman"/>
          <w:sz w:val="16"/>
          <w:szCs w:val="16"/>
          <w:color w:val="auto"/>
        </w:rPr>
      </w:pPr>
    </w:p>
    <w:p>
      <w:pPr>
        <w:ind w:left="520" w:right="120" w:hanging="512"/>
        <w:spacing w:after="0" w:line="282" w:lineRule="auto"/>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geopolitical tensions or acts of war or terrorism.</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Aeva’s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Aeva’s securities, may not be predictable. A loss of investor confidence in the market for retail stocks or the stocks of other companies which investors perceive to be similar to Aeva could depress Aeva’s share price regardless of our business, prospects, financial conditions or results of operations. A decline in the market price of Aeva’s securities also could adversely affect our ability to issue additional securities and to obtain additional financing in the future.</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Aeva, our business, or our market, or if they adversely change their recommendations regarding Aeva’s securities, the price and trading volume of Aeva’s securities could decline.</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Aeva’s securities depends, to some extent, on the research and reports that industry or securities analysts publish about Aeva, our business, market or competitors. If securities or industry analysts publish research reports that are interpreted negatively by the investment community, or have a negative tone regarding Aeva’s business, financial condition, operating performance, industry, or end-markets, or downgrade Aeva’s common stock, Aeva’s share price and trading volume would likely be negatively impacted. If any of the analysts who cover Aeva adversely change their recommendation regarding Aeva’s price of common stock, or provide more favorable relative recommendations about Aeva’s competitors, the price of Aeva’s common stock would likely decline. If any of the analysts who cover Aeva cease coverage of Aeva or fail to regularly publish reports on us, Aeva could lose visibility in the financial markets, which in turn could cause Aeva’s share price or trading volume to decline.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ownership in our common stock may be diluted by additional equity issuances.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Your percentage ownership in our common stock could be diluted in the future as a result of equity or convertible issuances for acquisitions, capital market transactions or otherwise, including any equity awards that we grant to our directors, officers and employees. Such awards could have a dilutive effect on our earnings per share, which could adversely affect the market price of our common stock. In addition, our certificate of incorporation authorizes us to issue, without the approval of our stockholders, one or more classes or series of preferred shares having such designation, powers, preferences and relative, participating, optional and other special rights as our board of directors generally may determine. Your ownership in our common stock could also be diluted by the exercise of securities convertible into our common stock, including our outstanding warrants and the convertible redeemable non-voting preferred stock that may be issued pursuant to the Facility Agreement. The terms of one or more classes or series of preferred shares could dilute the voting power or reduce the value of our common stock. In addition, your interest may be diluted to the extent that we satisfy our obligations under the Notes by delivering shares of our common stock.</w:t>
      </w:r>
    </w:p>
    <w:p>
      <w:pPr>
        <w:spacing w:after="0" w:line="292"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second amended and restated certificate of incorporation contains anti-takeover provisions that could adversely affect the rights of our stockholders.</w:t>
      </w:r>
    </w:p>
    <w:p>
      <w:pPr>
        <w:spacing w:after="0" w:line="5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contains provisions to limit the ability of others to acquire control of Aeva or cause us to engage in change-of-control transactions, including, among other things:</w:t>
      </w:r>
    </w:p>
    <w:p>
      <w:pPr>
        <w:spacing w:after="0" w:line="67" w:lineRule="exact"/>
        <w:rPr>
          <w:sz w:val="20"/>
          <w:szCs w:val="20"/>
          <w:color w:val="auto"/>
        </w:rPr>
      </w:pPr>
    </w:p>
    <w:p>
      <w:pPr>
        <w:ind w:left="520" w:right="120" w:hanging="512"/>
        <w:spacing w:after="0" w:line="282" w:lineRule="auto"/>
        <w:tabs>
          <w:tab w:leader="none" w:pos="5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provisions that authorize our board of directors, without action by our stockholders, to issue additional shares of common stock and preferred stock with preferential rights determined by our board of directors;</w:t>
      </w:r>
    </w:p>
    <w:p>
      <w:pPr>
        <w:spacing w:after="0" w:line="80" w:lineRule="exact"/>
        <w:rPr>
          <w:rFonts w:ascii="Times New Roman" w:cs="Times New Roman" w:eastAsia="Times New Roman" w:hAnsi="Times New Roman"/>
          <w:sz w:val="16"/>
          <w:szCs w:val="16"/>
          <w:color w:val="auto"/>
        </w:rPr>
      </w:pPr>
    </w:p>
    <w:p>
      <w:pPr>
        <w:ind w:left="520" w:right="600" w:hanging="512"/>
        <w:spacing w:after="0" w:line="282" w:lineRule="auto"/>
        <w:tabs>
          <w:tab w:leader="none" w:pos="5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provisions that permit only a majority of our board of directors, the chairperson of the board of directors or the chief executive officer to call stockholder meetings and therefore do not permit stockholders to call special meetings of the stockholders;</w:t>
      </w:r>
    </w:p>
    <w:p>
      <w:pPr>
        <w:spacing w:after="0" w:line="67"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provisions limiting stockholders’ ability to act by written consent; and</w:t>
      </w:r>
    </w:p>
    <w:p>
      <w:pPr>
        <w:spacing w:after="0" w:line="130" w:lineRule="exact"/>
        <w:rPr>
          <w:rFonts w:ascii="Times New Roman" w:cs="Times New Roman" w:eastAsia="Times New Roman" w:hAnsi="Times New Roman"/>
          <w:sz w:val="16"/>
          <w:szCs w:val="16"/>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staggered board whereby our directors are divided into three classes, with each class subject to retirement and re-election once every three years on a rotating basis.</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These provisions could have the effect of depriving our stockholders of an opportunity to sell their common stock at a premium over prevailing market prices by discouraging third parties from seeking to obtain control of our company in a tender offer or similar transaction. With our staggered board of directors, at least two annual or special meetings of stockholders will generally be required in order to effect a change in a majority of our directors. Our staggered board of directors can discourage proxy contests for the election of directors and purchases of substantial blocks of our shares by making it more difficult for a potential acquirer to gain control of our board of directors in a relatively short period of time.</w:t>
      </w:r>
    </w:p>
    <w:p>
      <w:pPr>
        <w:spacing w:after="0" w:line="287" w:lineRule="exact"/>
        <w:rPr>
          <w:sz w:val="20"/>
          <w:szCs w:val="20"/>
          <w:color w:val="auto"/>
        </w:rPr>
      </w:pPr>
    </w:p>
    <w:p>
      <w:pPr>
        <w:jc w:val="both"/>
        <w:ind w:righ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second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requires, to the fullest extent permitted by law, that (i) derivative actions brought in our name, (ii) asserting a claim of breach of fiduciary duty owed by any director, officer or stockholder of the Company, (iii) actions asserting a claim pursuant to the DGCL, the Certificate of Incorporation and the bylaws of the Company, or (iv) any actions asserting claims governed by the internal affairs doctrine, may be brought only in the Court of Chancery in the State of Delaware (or, in the event that the Chancery Court does not have jurisdiction, the federal district court for the District of Delaware or other state courts of the State of Delaware). Subject to the preceding sentence, the federal district courts of the United States of America will be the exclusive forum for the resolution of any complaint asserting a cause of action arising under the Securities Act. However, such forum selection provisions will not apply to suits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brought to enforce any liability or duty created by the Exchange Act or any other claim for which the federal courts of the United States have exclusive jurisdiction.</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second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3" w:lineRule="exact"/>
        <w:rPr>
          <w:sz w:val="20"/>
          <w:szCs w:val="20"/>
          <w:color w:val="auto"/>
        </w:rPr>
      </w:pPr>
    </w:p>
    <w:p>
      <w:pPr>
        <w:jc w:val="both"/>
        <w:ind w:right="100" w:firstLine="509"/>
        <w:spacing w:after="0" w:line="272" w:lineRule="auto"/>
        <w:rPr>
          <w:sz w:val="20"/>
          <w:szCs w:val="20"/>
          <w:color w:val="auto"/>
        </w:rPr>
      </w:pPr>
      <w:r>
        <w:rPr>
          <w:rFonts w:ascii="Times New Roman" w:cs="Times New Roman" w:eastAsia="Times New Roman" w:hAnsi="Times New Roman"/>
          <w:sz w:val="17"/>
          <w:szCs w:val="17"/>
          <w:color w:val="auto"/>
        </w:rPr>
        <w:t>Additionally, Section 22 of the Securities Act creates concurrent jurisdiction for federal and state courts overall suits brought to enforce any duty or liability created by the Securities Act or the rules and regulations thereunder. As noted above, the second amended and restated certificate of incorporation will provide that the federal district courts of the United States of America will have jurisdiction over any action arising under the Securities Act.</w:t>
      </w:r>
    </w:p>
    <w:p>
      <w:pPr>
        <w:spacing w:after="0" w:line="2"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Accordingly, there is uncertainty as to whether a court would enforce such provision. Our stockholders will not be deemed to have waived our compliance with the federal securities laws and the rules and regulations thereunder.</w:t>
      </w:r>
    </w:p>
    <w:p>
      <w:pPr>
        <w:spacing w:after="0" w:line="1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consented to the forum provisions in our second amended and restated certificate of incorporation.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Aeva is concentrated in our management.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on Form 10-K, our officers and directors, as well as entities they are affiliated with or control, beneficially own or control approximately 36.3% of our outstanding shares of common stock. This ownership does not reflect convertible securities underlying shares of common stock. The beneficially owned shares outstanding does not include certain shares owned by Mr. Rezk that were pledged as collateral for a loan and this pledge is now the subject of a dispute. Based on the information provided to Mr. Rezk, we and Mr. Rezk believe that the pledged shares may have been sold prior to June 2025. Neither we nor Mr. Rezk make any assertion as to the outcome of that dispute.</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This concentrated ownership and control by our management could adversely affect the status and perception of our common stock and/or warrants. In addition, any material sales of common stock by our management, or even the perception that such sales will occur, could cause a material decline in the trading price of our common stock and/or warrants. Due to this ownership concentration, our management has significant influence on all matters requiring stockholder approval, including the election of directors, the approval of mergers or acquisitions, and other significant corporate transactions. Any person acquiring our common stock most likely will have no effective voice in the management of our company. This ownership concentration also could delay or prevent a change of control of the company, which could deprive our stockholders from receiving a premium for their common shares.</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for the foreseeable future, you may not receive any return on investment unless you sell the common stock for a price greater than that which you paid for it.</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common stock unless you sell the common stock for a price greater than that which you paid for it. See the section entitled “</w:t>
      </w:r>
      <w:r>
        <w:rPr>
          <w:rFonts w:ascii="Times New Roman" w:cs="Times New Roman" w:eastAsia="Times New Roman" w:hAnsi="Times New Roman"/>
          <w:sz w:val="18"/>
          <w:szCs w:val="18"/>
          <w:i w:val="1"/>
          <w:iCs w:val="1"/>
          <w:color w:val="auto"/>
        </w:rPr>
        <w:t>Market for Registrant’s Common Equity, Related Stockholder Matters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Issuer Purchases of Equity Securities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Information Technology team has established an information security management system to safeguard the confidentiality, integrity, and availability of the Company’s products, infrastructure, and data. This system is integrated with our Quality and Business Management Systems and aims to identify, assess, and address cybersecurity risks affecting our business. It features an Incident Response Procedure (“IRP”) that specifies roles and responsibilities during security incidents, detailing incident detection, investigation, mitigation, and prompt incident reporting procedures.</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Additionally, we conduct regular internal assessments and audits, complemented by insights from external experts. The outcomes of these evaluations are communicated to senior leadership. Based on these risk assessments, we redesign, implement, and maintain adequate safeguards to reduce identified risks, address gaps, and continuously assess the efficacy of these measures. Our engagement with our key partners, vendors, customers, industry stakeholders, and government bodies is ongoing, aiming to improve our information security policies and procedures over time. We aim to diligently manage risks related to cybersecurity threats from third-party service providers, including, when possible, requesting our service providers to report incidents that may compromise the Company’s data.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Threats and Incidents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IT infrastructure, encompassing operational and security systems, integrated software, and data processed by us or our third-party vendors, is vulnerable to cybersecurity threats and incidents. As of December 31, 2025, these risks have not significantly impacted the Company, including our business strategy, or operational results, or financial results. While we devote resources to our security measures to protect our systems and information, these measures cannot provide absolute security. See Part I, Item 1A. “Risk Factors” of this report for additional information about the risks to our business associated with a breach or compromise to our information technology systems.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Chief Technology Officer is tasked with assessing and managing significant cybersecurity risks across the Company based on the assessments of our IT Director. Our IT Director brings substantial IT and Information Security expertise from various roles in the technology industry.</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IT Director leads and coordinates cybersecurity efforts at Aeva, providing regular updates on cybersecurity progress to the senior leadership team. The Information Security team actively shares updates on the status of cybersecurity efforts and risks, evaluates our information security programs, and monitors the evolving threat landscape on a company-wide level.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Audit Committee oversees our cybersecurity, including assessment, prevention, detection, and remediation of cyber risks, threats and incidents.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incidents occur, depending on the nature and severity, the Audit Committee is notified, and incidents are further reviewed with the Audit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cybersecurity matters will be reviewed with the full Board of Directors.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Mountain View, California, where we lease a building with approximately 28,000 square feet, pursuant to a lease that expires in June 2026. Our headquarters contains engineering, research and development, assembly and administrative functions. Additionally, we lease approximately 96,000 square feet located in Milpitas, California for our testing facility. This lease expires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May 2029. We believe that our facilities are adequate for our current needs and, should we need additional space, we believe we will be able to obtain additional space on commercially reasonable terms.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1D1C1D"/>
        </w:rPr>
        <w:t xml:space="preserve">From time to time, the Company may be involved in actions, claims, suits and other proceedings in the ordinary course of business, including assertions by third parties relating to intellectual property infringement, breaches of contract or warranties or employment-related matters. Information regarding legal proceedings is provided in this Annual Report in “Notes to Consolidated Financial Statements, Note 15 - </w:t>
      </w:r>
      <w:r>
        <w:rPr>
          <w:rFonts w:ascii="Times New Roman" w:cs="Times New Roman" w:eastAsia="Times New Roman" w:hAnsi="Times New Roman"/>
          <w:sz w:val="18"/>
          <w:szCs w:val="18"/>
          <w:i w:val="1"/>
          <w:iCs w:val="1"/>
          <w:color w:val="1D1C1D"/>
        </w:rPr>
        <w:t>Commitments and Contingencies</w:t>
      </w:r>
      <w:r>
        <w:rPr>
          <w:rFonts w:ascii="Times New Roman" w:cs="Times New Roman" w:eastAsia="Times New Roman" w:hAnsi="Times New Roman"/>
          <w:sz w:val="18"/>
          <w:szCs w:val="18"/>
          <w:color w:val="1D1C1D"/>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8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ind w:left="52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symbols “AEVA”.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10, 2026, there were 40 holders of record of our common stock. Because many of our shares of common stock are held by brokers and other institutions on behalf of stockholders, we are unable to estimate the total number of holders represented by these record holders. However, we believe a substantially greater number of beneficial owners hold shares of our common stock through brokers, banks, or other nominees.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is incorporated by reference to our Proxy Statement for the Annual Meeting of Stockholders to be held in 2026 (the “Proxy Statement”). See Part III, Item 12 “Security Ownership of Certain Beneficial Owners and Management” and “Equity Compensation Plan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Consolidated Financial Statements and related notes that are included elsewhere in this report.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report.</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On March 18, 2024, we filed a Certificate of Amendment to our Amended and Restated Certificate of Incorporation (the “Amendment”) with the Secretary of State of the State of Delaware to effect a 1-for-5 reverse stock split (the “Reverse Stock Split”) of shares of common stock, $0.0001 par value (the “common stock”). Pursuant to the Reverse Stock Split, every five (5) shares of issued and outstanding shares of common stock were combined into one</w:t>
      </w:r>
    </w:p>
    <w:p>
      <w:pPr>
        <w:spacing w:after="0" w:line="1" w:lineRule="exact"/>
        <w:rPr>
          <w:sz w:val="20"/>
          <w:szCs w:val="20"/>
          <w:color w:val="auto"/>
        </w:rPr>
      </w:pPr>
    </w:p>
    <w:p>
      <w:pPr>
        <w:ind w:right="20" w:firstLine="8"/>
        <w:spacing w:after="0" w:line="260" w:lineRule="auto"/>
        <w:tabs>
          <w:tab w:leader="none" w:pos="2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 of common stock. All share and per share amounts presented herein have been retroactively adjusted to reflect the Reverse Stock Split. There was no change to the shares authorized or in the par value per share of common stock of $0.0001.</w:t>
      </w:r>
    </w:p>
    <w:p>
      <w:pPr>
        <w:spacing w:after="0" w:line="17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Reverse Stock Split affected all stockholders uniformly and did not alter any stockholder’s percentage interest in the Company’s equity. The Company did not issue fractional shares in connection with the Reverse Stock Split. Stockholders who were otherwise entitled to fractional shares of common stock were instead entitled to receive a proportional cash payment. The number of shares of common stock issuable under our equity incentive plans and exercisable under the outstanding warrants were also proportionately adjusted.</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A discussion and analysis regarding our financial condition, results of operations and cash flows for the year ended December 31, 2025 compared to the year ended December 31, 2024 is presented below. Discussion regarding our financial condition and results of operations for the year ended December 31, 2024 as compared to the year ended December 31, 2023 is not included in this Form 10-K, and can be found in “Management’s Discussion and Analysis of Financial Condition and Results of Operations” in Part II, Item 7 of the Company’s Annual Report on Form 10-K filed with the SEC on March 21,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vision is to bring perception to broad applications. Through our FMCW sensing technology, we believe we are introducing the world’s first 4D LiDAR-on-chip that, along with our proprietary software applications, has the potential to enable the adoption of LIDAR across broad applications.</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Founded in 2017 by former Apple engineers Soroush Salehian and Mina Rezk and led by a multidisciplinary team of engineers and operators experienced in the field of sensing and perception, Aeva’s mission is to bring the next wave of perception technology to broad applications from automated driving to industrial automation, consumer device and security applications. Our 4D LiDAR-on-chip combines silicon photonics technology that is proven in the telecom industry with precise instant velocity measurements and long-range performance for commercialization.</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a development stage company, we work closely with our customers on the development and commercialization of their programs and the utilization of our products in such programs. Thus far, virtually all of our customers have purchased prototype products and engineering services from us for use in their research and development programs. We are expanding our manufacturing capacity through third-party manufacturers to meet our customers’ anticipated demand for the production of our products.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Unlike legacy 3D LiDAR, which relies on Time-of-Flight (“ToF”) technology and measures only depth and reflectivity, Aeva’s solution leverages a proprietary FMCW technology to measure velocity in addition to depth, reflectivity and inertial motion. We believe the ability of Aeva’s solution to measure instant velocity for every pixel is a major advantage over ToF-based sensing solutions. Furthermore, Aeva’s technology is free from interference from other LiDAR and sunlight, and our core innovations within FMCW are intended to enable autonomous vehicles to see at significantly higher distances of up to 500 meters.</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believe Aeva is uniquely positioned to provide a superior solution with the potential to enable higher level of automation for vehicles. Furthermore, we believe the advantages of our 4D LiDAR-on-chip allow us to provide the first LiDAR solution that is fully integrated onto a chip with superior performance at scale, with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potential to drive new categories of perception across industrial automation, consumer devices, and security markets.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Aeva’s Operating Results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future performance and success depends to a substantial extent on our ability to capitalize opportunities, which in turn is subject to significant risks and challenges, including those discussed below and in the section of this Annual Report on Form 10-K entitled “Risk Factors.”</w:t>
      </w:r>
    </w:p>
    <w:p>
      <w:pPr>
        <w:spacing w:after="0" w:line="16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Pricing, Product Cost and Margins. </w:t>
      </w:r>
      <w:r>
        <w:rPr>
          <w:rFonts w:ascii="Times New Roman" w:cs="Times New Roman" w:eastAsia="Times New Roman" w:hAnsi="Times New Roman"/>
          <w:sz w:val="18"/>
          <w:szCs w:val="18"/>
          <w:color w:val="auto"/>
        </w:rPr>
        <w:t>Our pricing and margins will depend on the volumes and the features as well as specific market applications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solutions we provide to our customers. We have customers with technologies in various stages of development across different market segments. We anticipate that our prices will vary by market and application due to market-specific product and commercial requirements, supply and demand dynamics and product lifecycles.</w:t>
      </w:r>
    </w:p>
    <w:p>
      <w:pPr>
        <w:spacing w:after="0" w:line="18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future performance will depend on our ability to deliver on economies of scale. Our customers will require that our perception solutions be manufactured and sold at per-unit prices that are competitive. Our ability to compete in key markets will depend on the success of our efforts to efficiently and reliably produce cost-effective perception solutions that are competitively priced and affordable for our commercial-stage customers.</w:t>
      </w:r>
    </w:p>
    <w:p>
      <w:pPr>
        <w:spacing w:after="0" w:line="17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Additionally, the macroeconomic conditions in the industry, the growing emergence of competition in advanced assisted driving sensing and software technologies globally can negatively impact pricing, margins and market share. Our business is impacted by various macroeconomic factors, including inflation, interest rates, levels of consumer confidence and consumer debt, fuel and energy costs, and other economic conditions. In addition, we are susceptible to supply chain disruptions, which may be exacerbated by changes to tariffs and trade policies. Given the nature of these macroeconomic factors, we cannot predict whether or for how long certain trends will continue, nor can we predict to what degree these trends will impact us in the future. If we do not generate the margins we expect upon commercialization of our perception solutions, we may be required to raise additional debt or equity capital, which may not be available or may only be available on terms that are onerous to Aeva’s stockholders.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Commercialization of LiDAR-based Applications. </w:t>
      </w:r>
      <w:r>
        <w:rPr>
          <w:rFonts w:ascii="Times New Roman" w:cs="Times New Roman" w:eastAsia="Times New Roman" w:hAnsi="Times New Roman"/>
          <w:sz w:val="18"/>
          <w:szCs w:val="18"/>
          <w:color w:val="auto"/>
        </w:rPr>
        <w:t>We expect that our results of operations, including revenue and gross margins, will fluctuate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basis for the foreseeable future as our customers continue on research and development projects and begin to commercialize advanced driver assist, autonomous and industrial automation solutions that rely on LiDAR technology. The development cycles of our products with new customers varies widely depending on the application, market, customer and the complexity of the product, and can vary from several months to years depending on the industry. These development cycles result in us investing our resources prior to realizing any revenue from the commercialization or obtaining any firm commitments of pricing, volume or timing of purchases of our products by our customers. As customers reach the commercialization phase and as the market for LiDAR solutions matures, these fluctuations in our operating results may become less pronounced.</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Each product program will have an expected range of sales volumes, depending on the end market demand for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as well as market application. This can depend on several factors, including market penetration, product capabilities, size of the end market that the product addresses and our end customers’ ability to sell their products. In addition to end market demand, sales volumes also depend on whether our customer is in the development or production phase. In certain cases, we may provide volume discounts or strategic customer pricing on sales of our solutions, which may or may not be offset by lower manufacturing costs related to higher volumes which in turn could adversely impact our gross margins. Our ability to ultimately achieve profitability is dependent upon progression of existing relationships to production and our ability to meet required volumes and required cost targets and gross margins. Delays in our current and future customers’ programs could result in us being unable to achieve our revenue targets and profitability in the time frame we anticipate. Such delays could result in us requiring to raise additional debt or equity capital, which may not be available or may only be available on terms that are onerous to Aeva’s stockholders.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conduct our business through one operating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consists of sales of perception solutions or sensing systems and non-recurring engineering services.</w:t>
      </w:r>
    </w:p>
    <w:p>
      <w:pPr>
        <w:spacing w:after="0" w:line="22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engaged in the design, manufacturing and sale of LiDAR sensing systems and related perception and autonomy-enabling software solutions serving customers in automotive, industrial, and other markets. Under our customer agreements, we deliver a specified number of sensing systems at a fixed price under customary terms and conditions. The sensing system units sold under these agreements are typically prototypes that are used by the customer for its research, development, evaluation, pilot, or testing purposes. We also enter into non-recurring engineering service arrangements with certain of our customers to customize Aeva’s perception solution to meet customer specific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direct material, direct labor and allocation of overhead associated with manufacturing operations, including inbound freight charges and depreciation expense. Cost of revenue also includes the direct cost and appropriate allocation of overhead involved in execution of non-recurring engineering services. Gross profit equals total revenue less total cost of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research and development efforts are focused on enhancing and developing additional functionality for our existing products and on new product development. Research and development expenses consist primarily of:</w:t>
      </w:r>
    </w:p>
    <w:p>
      <w:pPr>
        <w:spacing w:after="0" w:line="67" w:lineRule="exact"/>
        <w:rPr>
          <w:sz w:val="20"/>
          <w:szCs w:val="20"/>
          <w:color w:val="auto"/>
        </w:rPr>
      </w:pPr>
    </w:p>
    <w:p>
      <w:pPr>
        <w:ind w:left="1020" w:right="8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and stock-based compensation expense, for personnel in our research and engineering functions; and</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materials, software licenses, supplies, and third-party services.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personnel and personnel-related expenses, including salaries, benefits, and stock-based compensation expense of our executive, finance, information systems, human resources, and legal, as well as legal and accounting fees for professional and contract services.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11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expenses consist of personnel and personnel-related expenses, including salaries, benefits, and stock-based compensation expense of our business development team as well as advertising and marketing expenses. These include the cost of trade shows, promotional materials, and public relations.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income earned on our cash equivalents and investments in marketable securities. Interest income will vary based on our cash equivalents and marketable securities balance and changes in interest rates.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Other income and expense primarily consist of changes in the fair value of Series A warrants, fair value of private placement warrants, interests expense on convertible notes and foreign currency transaction gains and losses, as well as realized gains and losses on marketable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5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6"/>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loss</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(3,790)</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5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(17,243)</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126,937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154,582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(27,645)</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(127,597)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(158,372)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30,775</w:t>
            </w: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(4,974)</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(1,486)</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(19,967)</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gain on settlement of share subscription liability</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(145,120)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(152,090)</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(145,428)</w:t>
            </w:r>
          </w:p>
        </w:tc>
        <w:tc>
          <w:tcPr>
            <w:tcW w:w="4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(152,261)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-1988185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-1988185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-1988185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-1148080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-1148080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-1148080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by $9.0 million, or 99%, to $18.1 million during the year ended December 31, 2025, from $9.1 million for the year ended December 31, 2024. This increase was primarily due to an increase in the sale of units sold in 2025 as compared to 2024, and activity related to non-recurring engineering services which is dependent upon the timing of the work performed for our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Cost of revenue increased by $5.9 million, or 46%, to $18.7 million during the year ended December 31, 2025, from $12.9 million for the year ended December 31, 2024. The increase was primarily due to an increase in the number of units sold in 2025 and also due to an increase in non-recurring engineering services during 2025 as compared to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$17.2 million or 17%, to $85.4 million during the year ended December 31, 2025, from $102.7 million for the year ended December 31, 2024. Research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development expenses decreased primarily due to a $9.4 million decrease in payroll and other employee related expenses, a $3.6 million decrease in stock based compensation expenses, a $6.8 million decrease in research and development material expenses, a $0.8 million decrease in consulting expenses, a $0.8 million decrease in facility expenses, a $0.6 million decrease in other expenses, a $0.3 million decrease in depreciation expenses and a $0.3 million decrease in lab supplies; this was partially offset by a $5.2 million increase in research and development service expenses, and a $0.2 million increase in travel expenses.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by $1.6 million, or 5%, to $34.9 million during the year ended December 31, 2025, from $33.3 million for the year ended December 31, 2024. General and administrative expense increased primarily due to a $2.1 million increase in stock based compensation, a $1.0 million increase in payroll and other employee related expenses, a $0.4 million for provision for doubtful debt, and a $0.3 million increase in subscription related expenses; this was partially offset by a $1.6 million decrease in legal expenses, and a $0.6 million decrease in professional expenses.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 decreased by $0.5 million, or 7%, to $6.7 million during the year ended December 31, 2025, from $7.2 million for the year ended December 31, 2024. Selling and marketing expense decreased due to a $0.3 million decrease in payroll and other employee related expenses and a $0.2 million decrease in stock based compensation.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settlement, net</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recorded a litigation settlement expense (net) of $11.5 million, related to the Delaware Stockholder Litigation (as defined in Note 15 to our consolidated financial statements included elsewhere in this report). No expense related to litigation settlement was recorded during the year ended December 31,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Interest income decreased by $5.0 million, or 64%, during the year ended December 31, 2025, as compared to the year ended December 31, 2024. The decrease was due to a decrease in the average balance of cash equivalents and marketable securities for the year ended December 31, 2025 as compared to the year ended December 31,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change during the year ended December 31, 2025, as compared to the year ended December 31, 2024, was due to an increase in the fair value of the Series A warrants issued in connection with the Facility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gain on settlement of share subscription liability</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fair value gain on settlement of share subscription liability of $1.7 million during the year ended December 31, 2025 represented the net gain recognized from settlement of the instrument under the LG Subscription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increased by $0.5 million for the year ended December 31, 2025 due interest expense of $0.7 million recorded on convertible debt, partially offset by a gain on foreign currency transactions.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capital requirements depend on many factors, including production capacity and sales volume, the timing and spending to support research and development efforts, investments in information technology, the expansion of sales and marketing activities, and market adoption of new and enhanced products and features.</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November 8, 2023, we entered into subscription agreements providing for the purchase of common stock resulting in net proceeds of $20.6 million. Also on November 8, 2023, we entered into a Standby Equity Purchase Agreement (as amended from time to time, the “Facility Agreement”) with entities affiliated with Sylebra. Pursuant to the Facility Agreement, we have the right, but not the obligation, to sell to Sylebra up to $125.0 million of shares of preferred stock, at our request until November 8, 2026, subject to the terms of the Facility Agreement and the satisfaction of certain conditions as described in Note 10 to our consolidated financial statements included elsewhere in this report. Each sale we request under the Facility Agreement may be for a number of shares of preferred stock with an aggregate value of at least $25.0 million but not more than $50.0 million (except with Sylebra’s consent). We paid Sylebra a facility fee of $2.5 million, an origination fee of $0.6 million, and an administrative fee of $0.3 million and reimbursed $0.4 million to Sylebra for its fees and expenses. In addition, we issued to Sylebra Series A warrants to purchase 3,000,000 shares of common stock at an exercise price of $5.00.</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2, 2024, Aeva and the parties to the Delaware Stockholder Litigation entered into a term sheet, and on December 6, 2024 entered into a formal settlement agreement, where we agreed to pay a total settlement cost of $14.0 million in exchange for a release of all claims. The settlement was paid pursuant to our indemnification obligations and from available director and officer insurance policies. On September 12, 2025, the Delaware Court of Chancery issued a final order approving the terms and conditions set forth in the settlement agreement. See Note 15 to our consolidated financial statements included elsewhere in this Annual Report on Form 10-K for more information about the Delaware Stockholder Litigation. As of December 31, 2025, we have paid in full the $14.0 million previously accrued in connection with the settlement of the Delaware Stockholder Litigation. We have also recovered $2.5 million from an insurance carrier.</w:t>
      </w:r>
    </w:p>
    <w:p>
      <w:pPr>
        <w:spacing w:after="0" w:line="18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May 13, 2025, we entered into a Share Subscription Agreement (the “LG Subscription Agreement”) with LG Innotek Co., Ltd. (“LGIT”) , a company organized under the laws of the Republic of Korea, pursuant to which we agreed to sell and issue to LGIT in a private placement an aggregate of 3,509,719 shares of common stock for aggregate gross proceeds of approximately $32.5 million. In connection with this sale, we entered into a Joint Development Agreement (“JDA”) with LGIT, and intend to form a strategic partnership with LGIT to bring Aeva’s 4D LiDAR into new industrial and consumer markets. The private placement closed on August 20, 2025. Accordingly, we issued 3,509,719 shares of common stock to LGIT at a price of $9.26 per share on receipt of gross proceeds of $32.5 million.</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November 4, 2025, we entered into a Securities Purchase Agreement (the “Securities Purchase Agreement”) with certain funds affiliated with Apollo Global Securities, LLC relating to the sale of Convertible Notes in an aggregate principal amount of $100 million due in 2032. The Notes are guaranteed by Aeva, Inc., a wholly owned subsidiary of ours. The transactions contemplated by the Securities Purchase Agreement closed on November 6, 2025. The Notes were issued pursuant to an indenture, dated as of November 6, 2025, by and among the Company, Aeva, Inc., as guarantor, and U.S. Bank Trust Company, National Association, as trustee and are senior, unsecured obligations of the Company. Interest on the Notes began accruing on the Closing Date and is payable semi-annually in arrears on May 15 and November 15 of each year, beginning on May 15, 2026, at a rate of 4.375% per year. As permitted by the terms of the Notes, we currently intend to make interest payments on the Notes in shares of our common stock.</w:t>
      </w:r>
    </w:p>
    <w:p>
      <w:pPr>
        <w:spacing w:after="0" w:line="18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To date, we have incurred negative cash flows from operating activities and incurred losses from operations as reflected in our accumulated deficit of $757.3 million as of December 31, 2025. We expect to continue to incur operating losses due to continued investments that we intend to make in our business, including development of products. As of December 31, 2025, we had cash and cash equivalents and marketable securities totaling $121.9 million. We also have the ability to draw on the Facility Agreement up to $125.0 million through November 8, 2026 in exchange for the issuance of preferred shares, and we intend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draw down on the Facility Agreement if and as required by our capital needs. As of December 31, 2025, all conditions to draw under the Facility Agreement were met. We believe that our liquidity, including financing available to us through the Facility Agreement, will be sufficient to fund our operating and capital expenditure for at least 12 months from the date of issuance of the consolidated financial statements included elsewhere in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6"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4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6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(115,077)</w:t>
            </w:r>
          </w:p>
        </w:tc>
        <w:tc>
          <w:tcPr>
            <w:tcW w:w="500" w:type="dxa"/>
            <w:vAlign w:val="bottom"/>
            <w:gridSpan w:val="2"/>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(106,913)</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97,901</w:t>
            </w: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128,578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r>
      <w:tr>
        <w:trPr>
          <w:trHeight w:val="20"/>
        </w:trPr>
        <w:tc>
          <w:tcPr>
            <w:tcW w:w="6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(9,683)</w:t>
            </w:r>
          </w:p>
        </w:tc>
      </w:tr>
      <w:tr>
        <w:trPr>
          <w:trHeight w:val="20"/>
        </w:trPr>
        <w:tc>
          <w:tcPr>
            <w:tcW w:w="6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-170815</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2025, net cash used in operating activities was $115.1 million, attributable to a $145.4 million net loss, a $25.1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net change in net operating assets and liabilities, partially offset by a $55.4 million of non-cash charges. Non-cash charges primarily consisted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 million in stock-based compensation, $21.5 million change in the fair value of warrant liability, $3.8 million of loss on joint development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 million of depreciation and amortization expense, $3.1 million of amortization of right of use assets, $0.4 of provision for doubtful debts and $0.5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impairment of inventories, partially offset by a $1.1 million of accretion of discount on available for sale securities. The net change in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of $25.1 million was primarily due to a $18.3 million decrease in other current liabilities, a $0.5 million decrease in accounts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$8.7 million increase in other current assets, a $3.9 million increase in inventories, a $2.5 million increase in accounts receivable, and a $2.8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lease liability, partially offset by a $8.2 million increase in accrued employee cost, a $3.3 million increase in accrued liabilities, and a $0.3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decrease in other non-current assets.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year ended December 31, 2025, net cash provided by investing activities was $29.9 million, attributable to $109.5 million of cash received from the maturity and sale of available-for-sale investments, partially offset by $75.0 million used in the purchase of investments, and $4.6 million used for the purchase of property, plant and equipment.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was attributable to proceeds of $96.9 million from issuance of convertible notes, a $32.1 million from the issuance of common shares pursuant to the LGIT transaction, and $0.1 million of proceeds from option exercises, partially offset by $0.6 million payment of taxes withheld on net settlement of restricted stock units.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commitments relate to leases of real estate. For more information, see Note 15 to our consolidated financial statements located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we have not engaged in any off-balance sheet arrangements.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The preparation of our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Share Subscriptions</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account for warrants and other equity-linked contracts (i.e., share subscriptions) as equity or liability-classified instruments based on an assessment of the instrument’s specific terms and applicable authoritative guidance in FASB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815-40, </w:t>
      </w:r>
      <w:r>
        <w:rPr>
          <w:rFonts w:ascii="Times New Roman" w:cs="Times New Roman" w:eastAsia="Times New Roman" w:hAnsi="Times New Roman"/>
          <w:sz w:val="18"/>
          <w:szCs w:val="18"/>
          <w:i w:val="1"/>
          <w:iCs w:val="1"/>
          <w:color w:val="auto"/>
        </w:rPr>
        <w:t>Derivatives and Hedging – Contract in Entity’s Own Equity</w:t>
      </w:r>
      <w:r>
        <w:rPr>
          <w:rFonts w:ascii="Times New Roman" w:cs="Times New Roman" w:eastAsia="Times New Roman" w:hAnsi="Times New Roman"/>
          <w:sz w:val="18"/>
          <w:szCs w:val="18"/>
          <w:color w:val="auto"/>
        </w:rPr>
        <w:t xml:space="preserve"> (“ASC 815-40”).</w:t>
      </w:r>
    </w:p>
    <w:p>
      <w:pPr>
        <w:spacing w:after="0" w:line="176"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first assess whether a freestanding equity-linked instrument should be classified as a liability pursuant to ASC 480 when the instrument is mandatorily redeemable, obligates the issuer to settle an instrument or the underlying shares by paying cash or other assets, or must or may require settlement by issuing variable number of shares and such settlement scenario is predominantly likely to occur.</w:t>
      </w:r>
    </w:p>
    <w:p>
      <w:pPr>
        <w:spacing w:after="0" w:line="176"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If an equity-linked instrument does not trigger liability classification under ASC 480, we assess whether the instrument meets all requirements for equity classification under ASC 815-40, including whether the instrument is indexed to our own common stock, among other conditions for equity classification. If not, the instrument is classified as a liability and is further analyzed to determine whether the instrument represents a derivative in its entirety. This assessment requires the use of professional judgment and requires reassessment of an instrument’s classification at each reporting period while the instrument remains outstanding.</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Equity-linked instruments that meet all equity classification conditions are recorded as a component of additional paid-in capital at issuance. Equity-linked instruments accounted for as liabilities are recognized and measured at fair value at inception and each reporting period the instrument remains outstanding. Any excess fair value over proceeds to be realized from the equity-linked instruments entered into at arm’s length, along with any changes in fair value, as determined at each reporting period, are recorded as a component of fair value loss on share subscription liability on the consolidated statements of operations and comprehensive loss. Changes in fair value are reported on the consolidated statements of cash flows as a non-cash reconciling item between net loss and net cash flows from operating activities.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Anticipated Losses on Contracts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When estimated contract costs exceed expected consideration under contracts with a customer, we evaluate whether the nature of the contract is in the scope of Accounting Standards Codification (“ASC”) 605-35, </w:t>
      </w:r>
      <w:r>
        <w:rPr>
          <w:rFonts w:ascii="Times New Roman" w:cs="Times New Roman" w:eastAsia="Times New Roman" w:hAnsi="Times New Roman"/>
          <w:sz w:val="18"/>
          <w:szCs w:val="18"/>
          <w:i w:val="1"/>
          <w:iCs w:val="1"/>
          <w:color w:val="auto"/>
        </w:rPr>
        <w:t>Revenue Recognition - Construction-Type and Production-Type Contracts</w:t>
      </w:r>
      <w:r>
        <w:rPr>
          <w:rFonts w:ascii="Times New Roman" w:cs="Times New Roman" w:eastAsia="Times New Roman" w:hAnsi="Times New Roman"/>
          <w:sz w:val="18"/>
          <w:szCs w:val="18"/>
          <w:color w:val="auto"/>
        </w:rPr>
        <w:t xml:space="preserve"> (“ASC 605-35”). If ASC 605-35 applies, we recognize a provision for the entire anticipated losses on contracts as soon as the loss becomes evident. In determining the anticipated losses, we consider the principles in ASC 606-10-32-2 through 32-27 (except for the guidance in paragraphs 606-10-32-11 through 32-13 on constraining estimates of variable consideration) to determine the transaction price, adjusted to reflect the effects of the customer's credit risk. The costs used in arriving at the estimated loss on a contract shall include all costs of the type allocable to contracts under paragraphs 340-40-25-5 through 25-8.</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Private Placement of shares with LGIT was closed on August 20, 2025. Accordingly, we issued 3,509,719 shares of common stock to LGIT at a price of $9.26 per share on receipt of gross proceeds of $32.5 million. See Note 2 to our consolidated financial statements included elsewhere in this Annual Report on Form 10-K for details on the provision for anticipated losses recognized on the JDA contract.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most critical accounting policy estimates and judgments required in applying ASC 606, </w:t>
      </w:r>
      <w:r>
        <w:rPr>
          <w:rFonts w:ascii="Times New Roman" w:cs="Times New Roman" w:eastAsia="Times New Roman" w:hAnsi="Times New Roman"/>
          <w:sz w:val="18"/>
          <w:szCs w:val="18"/>
          <w:i w:val="1"/>
          <w:iCs w:val="1"/>
          <w:color w:val="auto"/>
        </w:rPr>
        <w:t>Revenue Recognition of Contracts from Customers</w:t>
      </w:r>
      <w:r>
        <w:rPr>
          <w:rFonts w:ascii="Times New Roman" w:cs="Times New Roman" w:eastAsia="Times New Roman" w:hAnsi="Times New Roman"/>
          <w:sz w:val="18"/>
          <w:szCs w:val="18"/>
          <w:color w:val="auto"/>
        </w:rPr>
        <w:t>, and our revenue recognition policy relate to the identification of performance obligations and accounting for certain contracts recognized over time. In certain contracts, the determination of our distinct performance obligations requires significant judgment. As our business and offerings to customers change over time, the products and services we determine to be distinct performance obligations may change. Such changes may adversely impact the amount of revenue and gross margin we report in a particular period. Revenue from product sales is recognized upon transfer of control of promised products. Revenue is recognized in an amount that reflects the consideration that Aeva expects to receive in exchange for those products and services. Product sales to certain customers may require customer acceptance, in which case revenue recognition is deferred until acceptance takes place. For service projects, revenue is recognized as services are performed and amounts are earned in accordance with the terms of contract at estimated collectible amounts.</w:t>
      </w:r>
    </w:p>
    <w:p>
      <w:pPr>
        <w:spacing w:after="0" w:line="18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For certain custom products that require engineering and development based on customer specifications, we recognize revenue over time using a cost-to-cost measure of progress which we believe faithfully depicts the transfer of control of the goods or services to the customer. Amounts billed to customers for shipping and handling are included in revenue. Some of our arrangements provide software embedded in hardware, and promises to update the software represent immaterial promises in contracts with customers. Taxes collected from customers and remitted to governmental authorities are excluded from revenue.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judgments with respect to these assumptions and estimates could impact the timing or amount of revenue recognition.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right="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See “Note 1. </w:t>
      </w:r>
      <w:r>
        <w:rPr>
          <w:rFonts w:ascii="Times New Roman" w:cs="Times New Roman" w:eastAsia="Times New Roman" w:hAnsi="Times New Roman"/>
          <w:sz w:val="18"/>
          <w:szCs w:val="18"/>
          <w:i w:val="1"/>
          <w:iCs w:val="1"/>
          <w:color w:val="auto"/>
        </w:rPr>
        <w:t>Description of Business and Summary of Significant Accounting Policies</w:t>
      </w:r>
      <w:r>
        <w:rPr>
          <w:rFonts w:ascii="Times New Roman" w:cs="Times New Roman" w:eastAsia="Times New Roman" w:hAnsi="Times New Roman"/>
          <w:sz w:val="18"/>
          <w:szCs w:val="18"/>
          <w:color w:val="auto"/>
        </w:rPr>
        <w:t>” of the consolidated financial statements included elsewhere in this report for a full description of recent accounting pronouncements including the respective expected dates of adoption and estimated effects, if any, on our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35"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and are not required to provide the information under this item.</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720" w:type="dxa"/>
            <w:vAlign w:val="bottom"/>
          </w:tcPr>
          <w:p>
            <w:pPr>
              <w:spacing w:after="0"/>
              <w:rPr>
                <w:sz w:val="20"/>
                <w:szCs w:val="20"/>
                <w:color w:val="auto"/>
              </w:rPr>
            </w:pPr>
          </w:p>
        </w:tc>
      </w:tr>
      <w:tr>
        <w:trPr>
          <w:trHeight w:val="527"/>
        </w:trPr>
        <w:tc>
          <w:tcPr>
            <w:tcW w:w="5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34)</w:t>
            </w:r>
          </w:p>
        </w:tc>
        <w:tc>
          <w:tcPr>
            <w:tcW w:w="40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9"/>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8"/>
                <w:szCs w:val="18"/>
                <w:color w:val="auto"/>
              </w:rPr>
            </w:pPr>
          </w:p>
        </w:tc>
        <w:tc>
          <w:tcPr>
            <w:tcW w:w="7400" w:type="dxa"/>
            <w:vAlign w:val="bottom"/>
            <w:gridSpan w:val="7"/>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9"/>
        </w:trPr>
        <w:tc>
          <w:tcPr>
            <w:tcW w:w="95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3600" w:type="dxa"/>
            <w:vAlign w:val="bottom"/>
            <w:tcBorders>
              <w:top w:val="single" w:sz="8" w:color="0000FF"/>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080" w:type="dxa"/>
            <w:vAlign w:val="bottom"/>
            <w:tcBorders>
              <w:top w:val="single" w:sz="8" w:color="0000FF"/>
            </w:tcBorders>
          </w:tcPr>
          <w:p>
            <w:pPr>
              <w:spacing w:after="0"/>
              <w:rPr>
                <w:sz w:val="18"/>
                <w:szCs w:val="18"/>
                <w:color w:val="auto"/>
              </w:rPr>
            </w:pPr>
          </w:p>
        </w:tc>
        <w:tc>
          <w:tcPr>
            <w:tcW w:w="4840" w:type="dxa"/>
            <w:vAlign w:val="bottom"/>
            <w:gridSpan w:val="2"/>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9"/>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0" w:type="dxa"/>
            <w:vAlign w:val="bottom"/>
            <w:tcBorders>
              <w:bottom w:val="single" w:sz="8" w:color="0000EE"/>
            </w:tcBorders>
          </w:tcPr>
          <w:p>
            <w:pPr>
              <w:spacing w:after="0"/>
              <w:rPr>
                <w:sz w:val="18"/>
                <w:szCs w:val="18"/>
                <w:color w:val="auto"/>
              </w:rPr>
            </w:pPr>
          </w:p>
        </w:tc>
        <w:tc>
          <w:tcPr>
            <w:tcW w:w="6600" w:type="dxa"/>
            <w:vAlign w:val="bottom"/>
            <w:gridSpan w:val="5"/>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360" w:type="dxa"/>
            <w:vAlign w:val="bottom"/>
            <w:gridSpan w:val="4"/>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884"/>
        </w:trPr>
        <w:tc>
          <w:tcPr>
            <w:tcW w:w="9520" w:type="dxa"/>
            <w:vAlign w:val="bottom"/>
            <w:gridSpan w:val="9"/>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1720" w:type="dxa"/>
            <w:vAlign w:val="bottom"/>
          </w:tcPr>
          <w:p>
            <w:pPr>
              <w:spacing w:after="0"/>
              <w:rPr>
                <w:sz w:val="24"/>
                <w:szCs w:val="24"/>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Aeva Technologies,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Aeva Technologies, Inc. and subsidiaries (the "Company") as of December 31, 2025 and December 31, 2024, the related consolidated statements of operations and comprehensive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December 31, 2024, and the results of its operations and its cash flows for each of the three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Subscription Agreement and Joint Development Agreement with LGIT— Refer to Notes 1, 7, 8 and 10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May 2025, the Company entered into a strategic partnership with LGIT pursuant to which LGIT agreed to invest up to $32.5 million in Aeva in exchange for common shares at a specified price under a share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ind w:right="300"/>
        <w:spacing w:after="0" w:line="282" w:lineRule="auto"/>
        <w:rPr>
          <w:sz w:val="20"/>
          <w:szCs w:val="20"/>
          <w:color w:val="auto"/>
        </w:rPr>
      </w:pPr>
      <w:r>
        <w:rPr>
          <w:rFonts w:ascii="Times New Roman" w:cs="Times New Roman" w:eastAsia="Times New Roman" w:hAnsi="Times New Roman"/>
          <w:sz w:val="18"/>
          <w:szCs w:val="18"/>
          <w:color w:val="auto"/>
        </w:rPr>
        <w:t>subscription arrangement (SSA). Around the same time, the Company also executed a Joint Development Agreement (JDA) with LGIT to provide non-recurring engineering (NRE) services for a fixed consideration of $7.5 million.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For accounting purposes, the SSA and JDA were evaluated as a single combined contract given their timing and interrelated commercial objectives. The total consideration from the arrangement was allocated first to the SSA in accordance with ASC 815, Derivatives and hedging. As a result, no consideration was allocated to the JDA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the Company recognized a contract loss at contract inception related to the NRE services.</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Auditing the Company’s accounting for the SSA and JDA, involved a higher degree of complexity and auditor judgment, including the involvement of internal fair value specialists.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accounting and the Share Subscription Agreement and Joint Development Agreement included the following, among others:</w:t>
      </w:r>
    </w:p>
    <w:p>
      <w:pPr>
        <w:spacing w:after="0" w:line="162" w:lineRule="exact"/>
        <w:rPr>
          <w:sz w:val="20"/>
          <w:szCs w:val="20"/>
          <w:color w:val="auto"/>
        </w:rPr>
      </w:pPr>
    </w:p>
    <w:p>
      <w:pPr>
        <w:ind w:left="760" w:right="92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implementation of internal controls over the Company’s process for capturing and accounting for the Share Subscription Agreement and Joint Development Agreement.</w:t>
      </w:r>
    </w:p>
    <w:p>
      <w:pPr>
        <w:spacing w:after="0" w:line="161"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terms of the underlying agreements and assessed the appropriateness of the Company's accounting for the SSA and JDA in conformity with accounting principles generally accepted in the United States of America.</w:t>
      </w:r>
    </w:p>
    <w:p>
      <w:pPr>
        <w:spacing w:after="0" w:line="161"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methodology, assumptions and inputs used by Management to estimate the fair value of the SSA.</w:t>
      </w:r>
    </w:p>
    <w:p>
      <w:pPr>
        <w:spacing w:after="0" w:line="161"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the provision for anticipated losses and evaluated management’s methodology, assumptions, and inputs used to develop the estimate, including a retrospective review of the estimate.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3" w:name="page64"/>
    <w:bookmarkEnd w:id="6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AEVA TECHNOLOGIES,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199"/>
        </w:trPr>
        <w:tc>
          <w:tcPr>
            <w:tcW w:w="82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72,291</w:t>
            </w:r>
          </w:p>
        </w:tc>
        <w:tc>
          <w:tcPr>
            <w:tcW w:w="16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28,864</w:t>
            </w: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Marketable securities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83,143</w:t>
            </w: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tcPr>
          <w:p>
            <w:pPr>
              <w:spacing w:after="0"/>
              <w:rPr>
                <w:sz w:val="17"/>
                <w:szCs w:val="17"/>
                <w:color w:val="auto"/>
              </w:rPr>
            </w:pPr>
          </w:p>
        </w:tc>
      </w:tr>
      <w:tr>
        <w:trPr>
          <w:trHeight w:val="203"/>
        </w:trPr>
        <w:tc>
          <w:tcPr>
            <w:tcW w:w="82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22,476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153,525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123,300</w:t>
            </w:r>
          </w:p>
        </w:tc>
        <w:tc>
          <w:tcPr>
            <w:tcW w:w="100" w:type="dxa"/>
            <w:vAlign w:val="bottom"/>
          </w:tcPr>
          <w:p>
            <w:pPr>
              <w:spacing w:after="0"/>
              <w:rPr>
                <w:sz w:val="17"/>
                <w:szCs w:val="17"/>
                <w:color w:val="auto"/>
              </w:rPr>
            </w:pPr>
          </w:p>
        </w:tc>
      </w:tr>
      <w:tr>
        <w:trPr>
          <w:trHeight w:val="196"/>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3,826</w:t>
            </w: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10,332</w:t>
            </w: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8,306</w:t>
            </w:r>
          </w:p>
        </w:tc>
        <w:tc>
          <w:tcPr>
            <w:tcW w:w="100" w:type="dxa"/>
            <w:vAlign w:val="bottom"/>
          </w:tcPr>
          <w:p>
            <w:pPr>
              <w:spacing w:after="0"/>
              <w:rPr>
                <w:sz w:val="17"/>
                <w:szCs w:val="17"/>
                <w:color w:val="auto"/>
              </w:rPr>
            </w:pPr>
          </w:p>
        </w:tc>
      </w:tr>
      <w:tr>
        <w:trPr>
          <w:trHeight w:val="23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179,701</w:t>
            </w:r>
          </w:p>
        </w:tc>
        <w:tc>
          <w:tcPr>
            <w:tcW w:w="1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147,489</w:t>
            </w:r>
          </w:p>
        </w:tc>
        <w:tc>
          <w:tcPr>
            <w:tcW w:w="100" w:type="dxa"/>
            <w:vAlign w:val="bottom"/>
            <w:shd w:val="clear" w:color="auto" w:fill="CFF0FC"/>
          </w:tcPr>
          <w:p>
            <w:pPr>
              <w:spacing w:after="0"/>
              <w:rPr>
                <w:sz w:val="20"/>
                <w:szCs w:val="20"/>
                <w:color w:val="auto"/>
              </w:rPr>
            </w:pPr>
          </w:p>
        </w:tc>
      </w:tr>
      <w:tr>
        <w:trPr>
          <w:trHeight w:val="183"/>
        </w:trPr>
        <w:tc>
          <w:tcPr>
            <w:tcW w:w="8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16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5,710</w:t>
            </w: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employee costs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liability, current portion</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19,174</w:t>
            </w:r>
          </w:p>
        </w:tc>
        <w:tc>
          <w:tcPr>
            <w:tcW w:w="100" w:type="dxa"/>
            <w:vAlign w:val="bottom"/>
          </w:tcPr>
          <w:p>
            <w:pPr>
              <w:spacing w:after="0"/>
              <w:rPr>
                <w:sz w:val="17"/>
                <w:szCs w:val="17"/>
                <w:color w:val="auto"/>
              </w:rPr>
            </w:pPr>
          </w:p>
        </w:tc>
      </w:tr>
      <w:tr>
        <w:trPr>
          <w:trHeight w:val="196"/>
        </w:trPr>
        <w:tc>
          <w:tcPr>
            <w:tcW w:w="8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35,869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 liability, noncurrent portion</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Convertible notes</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96,693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29,711</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100" w:type="dxa"/>
            <w:vAlign w:val="bottom"/>
            <w:tcBorders>
              <w:bottom w:val="single" w:sz="8" w:color="CFF0FC"/>
            </w:tcBorders>
          </w:tcPr>
          <w:p>
            <w:pPr>
              <w:spacing w:after="0"/>
              <w:rPr>
                <w:sz w:val="17"/>
                <w:szCs w:val="17"/>
                <w:color w:val="auto"/>
              </w:rPr>
            </w:pPr>
          </w:p>
        </w:tc>
      </w:tr>
      <w:tr>
        <w:trPr>
          <w:trHeight w:val="196"/>
        </w:trPr>
        <w:tc>
          <w:tcPr>
            <w:tcW w:w="8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166,486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Convertible preferred stock $0.0001 par value, 10,000 shares authorized; no shares issued and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as of December 31, 2025 and December 31, 2024</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$0.0001 par value; 422,000 shares authorized; 61,580 and 54,140 shares</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8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issued and outstanding at December 31, 2025 and December 31, 2024, respectively</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8"/>
                <w:szCs w:val="18"/>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770,502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711,160</w:t>
            </w: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(757,289)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(611,861)</w:t>
            </w:r>
          </w:p>
        </w:tc>
      </w:tr>
      <w:tr>
        <w:trPr>
          <w:trHeight w:val="196"/>
        </w:trPr>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13,215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99,352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179,701</w:t>
            </w:r>
          </w:p>
        </w:tc>
        <w:tc>
          <w:tcPr>
            <w:tcW w:w="16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147,489</w:t>
            </w:r>
          </w:p>
        </w:tc>
        <w:tc>
          <w:tcPr>
            <w:tcW w:w="100" w:type="dxa"/>
            <w:vAlign w:val="bottom"/>
          </w:tcPr>
          <w:p>
            <w:pPr>
              <w:spacing w:after="0"/>
              <w:rPr>
                <w:sz w:val="17"/>
                <w:szCs w:val="17"/>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-3856990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-3059430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-3042920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-3042920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-1996440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-1615440</wp:posOffset>
            </wp:positionV>
            <wp:extent cx="939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-1615440</wp:posOffset>
            </wp:positionV>
            <wp:extent cx="9398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-162560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AEVA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18,079</w:t>
            </w:r>
          </w:p>
        </w:tc>
        <w:tc>
          <w:tcPr>
            <w:tcW w:w="16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12,855</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Gross loss</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(3,790)</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(5,886)</w:t>
            </w:r>
          </w:p>
        </w:tc>
        <w:tc>
          <w:tcPr>
            <w:tcW w:w="0" w:type="dxa"/>
            <w:vAlign w:val="bottom"/>
          </w:tcPr>
          <w:p>
            <w:pPr>
              <w:spacing w:after="0"/>
              <w:rPr>
                <w:sz w:val="1"/>
                <w:szCs w:val="1"/>
                <w:color w:val="auto"/>
              </w:rPr>
            </w:pPr>
          </w:p>
        </w:tc>
      </w:tr>
      <w:tr>
        <w:trPr>
          <w:trHeight w:val="196"/>
        </w:trPr>
        <w:tc>
          <w:tcPr>
            <w:tcW w:w="6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85,424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102,667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102,503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Litigation settlement, net</w:t>
            </w:r>
          </w:p>
        </w:tc>
        <w:tc>
          <w:tcPr>
            <w:tcW w:w="300" w:type="dxa"/>
            <w:vAlign w:val="bottom"/>
          </w:tcPr>
          <w:p>
            <w:pPr>
              <w:spacing w:after="0"/>
              <w:rPr>
                <w:sz w:val="17"/>
                <w:szCs w:val="17"/>
                <w:color w:val="auto"/>
              </w:rPr>
            </w:pP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126,937</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154,582</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141,902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30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(127,597)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(158,372)</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(147,788)</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Fair value at issuance of Series A warrants</w:t>
            </w:r>
          </w:p>
        </w:tc>
        <w:tc>
          <w:tcPr>
            <w:tcW w:w="300" w:type="dxa"/>
            <w:vAlign w:val="bottom"/>
          </w:tcPr>
          <w:p>
            <w:pPr>
              <w:spacing w:after="0"/>
              <w:rPr>
                <w:sz w:val="17"/>
                <w:szCs w:val="17"/>
                <w:color w:val="auto"/>
              </w:rPr>
            </w:pP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(6,500)</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(21,453)</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(1,486)</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Fair value gain on settlement of share subscription liability</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(3,788)</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30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(145,120)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(152,090)</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(149,333)</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(145,428)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(152,261)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(149,333)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 gain on available-for-sale securities</w:t>
            </w: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30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(145,479)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(152,127)</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(145,835)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(2.55)</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(2.85)</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169"/>
        </w:trPr>
        <w:tc>
          <w:tcPr>
            <w:tcW w:w="6620" w:type="dxa"/>
            <w:vAlign w:val="bottom"/>
            <w:tcBorders>
              <w:top w:val="single" w:sz="8" w:color="CFF0FC"/>
            </w:tcBorders>
          </w:tcPr>
          <w:p>
            <w:pPr>
              <w:spacing w:after="0" w:line="169" w:lineRule="exact"/>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57,023,024</w:t>
            </w: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53,359,685</w:t>
            </w:r>
          </w:p>
        </w:tc>
        <w:tc>
          <w:tcPr>
            <w:tcW w:w="26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45,412,155</w:t>
            </w: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120"/>
              <w:spacing w:after="0" w:line="176" w:lineRule="exact"/>
              <w:rPr>
                <w:sz w:val="20"/>
                <w:szCs w:val="20"/>
                <w:color w:val="auto"/>
              </w:rPr>
            </w:pPr>
            <w:r>
              <w:rPr>
                <w:rFonts w:ascii="Times New Roman" w:cs="Times New Roman" w:eastAsia="Times New Roman" w:hAnsi="Times New Roman"/>
                <w:sz w:val="16"/>
                <w:szCs w:val="16"/>
                <w:color w:val="auto"/>
              </w:rPr>
              <w:t>basic and diluted</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-2699385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-2699385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-2699385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-1910715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-1910715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-1130935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-1130935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-1130935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-865505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-865505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-865505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-574040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-574040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-574040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-282575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-265430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-282575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-265430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-265430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AEVA TECHNOLOGIES,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480" w:type="dxa"/>
            <w:vAlign w:val="bottom"/>
            <w:gridSpan w:val="4"/>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2480" w:type="dxa"/>
            <w:vAlign w:val="bottom"/>
            <w:tcBorders>
              <w:bottom w:val="single" w:sz="8" w:color="auto"/>
            </w:tcBorders>
            <w:gridSpan w:val="4"/>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4"/>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20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43,749,685</w:t>
            </w: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643,774</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(3,585)</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(310,267)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329,926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private placement, net of</w:t>
            </w: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cost of</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7,360,283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$818</w:t>
            </w: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3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131,444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release of restricted</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1,205,704</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 units</w:t>
            </w:r>
          </w:p>
        </w:tc>
        <w:tc>
          <w:tcPr>
            <w:tcW w:w="12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the withholding tax on vesting of</w:t>
            </w:r>
          </w:p>
        </w:tc>
        <w:tc>
          <w:tcPr>
            <w:tcW w:w="1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(58,155)</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71"/>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units</w:t>
            </w: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3,498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(149,333)</w:t>
            </w: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(149,333)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52,388,961</w:t>
            </w: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3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688,124</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(87)</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(459,600)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228,442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23,708</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23,708</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43,660</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options</w:t>
            </w:r>
          </w:p>
        </w:tc>
        <w:tc>
          <w:tcPr>
            <w:tcW w:w="12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release of restricted</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1,921,646</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units</w:t>
            </w: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the withholding tax on vesting of</w:t>
            </w:r>
          </w:p>
        </w:tc>
        <w:tc>
          <w:tcPr>
            <w:tcW w:w="13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(214,707)</w:t>
            </w: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(752)</w:t>
            </w: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(752)</w:t>
            </w:r>
          </w:p>
        </w:tc>
        <w:tc>
          <w:tcPr>
            <w:tcW w:w="0" w:type="dxa"/>
            <w:vAlign w:val="bottom"/>
          </w:tcPr>
          <w:p>
            <w:pPr>
              <w:spacing w:after="0"/>
              <w:rPr>
                <w:sz w:val="1"/>
                <w:szCs w:val="1"/>
                <w:color w:val="auto"/>
              </w:rPr>
            </w:pPr>
          </w:p>
        </w:tc>
      </w:tr>
      <w:tr>
        <w:trPr>
          <w:trHeight w:val="171"/>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restricted stock units</w:t>
            </w:r>
          </w:p>
        </w:tc>
        <w:tc>
          <w:tcPr>
            <w:tcW w:w="13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(152,261)</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(152,261)</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54,139,560</w:t>
            </w:r>
          </w:p>
        </w:tc>
        <w:tc>
          <w:tcPr>
            <w:tcW w:w="160" w:type="dxa"/>
            <w:vAlign w:val="bottom"/>
          </w:tcPr>
          <w:p>
            <w:pPr>
              <w:spacing w:after="0"/>
              <w:rPr>
                <w:sz w:val="12"/>
                <w:szCs w:val="12"/>
                <w:color w:val="auto"/>
              </w:rPr>
            </w:pPr>
          </w:p>
        </w:tc>
        <w:tc>
          <w:tcPr>
            <w:tcW w:w="1120" w:type="dxa"/>
            <w:vAlign w:val="bottom"/>
            <w:gridSpan w:val="2"/>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711,160</w:t>
            </w:r>
          </w:p>
        </w:tc>
        <w:tc>
          <w:tcPr>
            <w:tcW w:w="120" w:type="dxa"/>
            <w:vAlign w:val="bottom"/>
          </w:tcPr>
          <w:p>
            <w:pPr>
              <w:spacing w:after="0"/>
              <w:rPr>
                <w:sz w:val="12"/>
                <w:szCs w:val="12"/>
                <w:color w:val="auto"/>
              </w:rPr>
            </w:pPr>
          </w:p>
        </w:tc>
        <w:tc>
          <w:tcPr>
            <w:tcW w:w="2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140" w:type="dxa"/>
            <w:vAlign w:val="bottom"/>
          </w:tcPr>
          <w:p>
            <w:pPr>
              <w:spacing w:after="0"/>
              <w:rPr>
                <w:sz w:val="12"/>
                <w:szCs w:val="12"/>
                <w:color w:val="auto"/>
              </w:rPr>
            </w:pP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(611,861)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99,352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21,843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21,843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54,255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options</w:t>
            </w: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release of restricted</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3,975,802</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 units</w:t>
            </w:r>
          </w:p>
        </w:tc>
        <w:tc>
          <w:tcPr>
            <w:tcW w:w="12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the withholding tax on vesting of</w:t>
            </w:r>
          </w:p>
        </w:tc>
        <w:tc>
          <w:tcPr>
            <w:tcW w:w="1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(99,185)</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171"/>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units</w:t>
            </w: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 the share</w:t>
            </w:r>
          </w:p>
        </w:tc>
        <w:tc>
          <w:tcPr>
            <w:tcW w:w="1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subscription agreement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3,509,719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37,949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with LGIT</w:t>
            </w:r>
          </w:p>
        </w:tc>
        <w:tc>
          <w:tcPr>
            <w:tcW w:w="12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(145,428)</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(145,428)</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2025</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61,580,151</w:t>
            </w:r>
          </w:p>
        </w:tc>
        <w:tc>
          <w:tcPr>
            <w:tcW w:w="160" w:type="dxa"/>
            <w:vAlign w:val="bottom"/>
          </w:tcPr>
          <w:p>
            <w:pPr>
              <w:spacing w:after="0"/>
              <w:rPr>
                <w:sz w:val="12"/>
                <w:szCs w:val="12"/>
                <w:color w:val="auto"/>
              </w:rPr>
            </w:pPr>
          </w:p>
        </w:tc>
        <w:tc>
          <w:tcPr>
            <w:tcW w:w="1120" w:type="dxa"/>
            <w:vAlign w:val="bottom"/>
            <w:gridSpan w:val="2"/>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770,502</w:t>
            </w:r>
          </w:p>
        </w:tc>
        <w:tc>
          <w:tcPr>
            <w:tcW w:w="120" w:type="dxa"/>
            <w:vAlign w:val="bottom"/>
          </w:tcPr>
          <w:p>
            <w:pPr>
              <w:spacing w:after="0"/>
              <w:rPr>
                <w:sz w:val="12"/>
                <w:szCs w:val="12"/>
                <w:color w:val="auto"/>
              </w:rPr>
            </w:pPr>
          </w:p>
        </w:tc>
        <w:tc>
          <w:tcPr>
            <w:tcW w:w="2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(757,289)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13,215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-2228215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-2228215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-2228215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-2228215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-2228215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-1370965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-1370965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-1370965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-1370965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-1370965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-128270</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-128270</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-128270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-128270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-128270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AEVA TECHNOLOGIES,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4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(145,428)</w:t>
            </w:r>
          </w:p>
        </w:tc>
        <w:tc>
          <w:tcPr>
            <w:tcW w:w="800" w:type="dxa"/>
            <w:vAlign w:val="bottom"/>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(152,261)</w:t>
            </w:r>
          </w:p>
        </w:tc>
        <w:tc>
          <w:tcPr>
            <w:tcW w:w="4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(149,333)</w:t>
            </w:r>
          </w:p>
        </w:tc>
        <w:tc>
          <w:tcPr>
            <w:tcW w:w="0" w:type="dxa"/>
            <w:vAlign w:val="bottom"/>
          </w:tcPr>
          <w:p>
            <w:pPr>
              <w:spacing w:after="0"/>
              <w:rPr>
                <w:sz w:val="1"/>
                <w:szCs w:val="1"/>
                <w:color w:val="auto"/>
              </w:rPr>
            </w:pPr>
          </w:p>
        </w:tc>
      </w:tr>
      <w:tr>
        <w:trPr>
          <w:trHeight w:val="126"/>
        </w:trPr>
        <w:tc>
          <w:tcPr>
            <w:tcW w:w="66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w:t>
            </w:r>
          </w:p>
        </w:tc>
        <w:tc>
          <w:tcPr>
            <w:tcW w:w="8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activities:</w:t>
            </w: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5,381</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of inventories</w:t>
            </w: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 of joint development agreement</w:t>
            </w:r>
          </w:p>
        </w:tc>
        <w:tc>
          <w:tcPr>
            <w:tcW w:w="8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3,785</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Fair value at issuance of Series A warrants</w:t>
            </w:r>
          </w:p>
        </w:tc>
        <w:tc>
          <w:tcPr>
            <w:tcW w:w="8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8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21,453</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21,843</w:t>
            </w: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23,708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8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3,106</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Amortization of premium and accretion of discount on available-for-sale</w:t>
            </w:r>
          </w:p>
        </w:tc>
        <w:tc>
          <w:tcPr>
            <w:tcW w:w="82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(1,050)</w:t>
            </w:r>
          </w:p>
        </w:tc>
        <w:tc>
          <w:tcPr>
            <w:tcW w:w="8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(3,537)</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(2,973)</w:t>
            </w:r>
          </w:p>
        </w:tc>
        <w:tc>
          <w:tcPr>
            <w:tcW w:w="0" w:type="dxa"/>
            <w:vAlign w:val="bottom"/>
          </w:tcPr>
          <w:p>
            <w:pPr>
              <w:spacing w:after="0"/>
              <w:rPr>
                <w:sz w:val="1"/>
                <w:szCs w:val="1"/>
                <w:color w:val="auto"/>
              </w:rPr>
            </w:pPr>
          </w:p>
        </w:tc>
      </w:tr>
      <w:tr>
        <w:trPr>
          <w:trHeight w:val="171"/>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securities, net</w:t>
            </w:r>
          </w:p>
        </w:tc>
        <w:tc>
          <w:tcPr>
            <w:tcW w:w="8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(2,537)</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(3,936)</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8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(8,715)</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(2,566)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49"/>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8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(1,592)</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3,314</w:t>
            </w: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(6,415)</w:t>
            </w:r>
          </w:p>
        </w:tc>
        <w:tc>
          <w:tcPr>
            <w:tcW w:w="0" w:type="dxa"/>
            <w:vAlign w:val="bottom"/>
          </w:tcPr>
          <w:p>
            <w:pPr>
              <w:spacing w:after="0"/>
              <w:rPr>
                <w:sz w:val="1"/>
                <w:szCs w:val="1"/>
                <w:color w:val="auto"/>
              </w:rPr>
            </w:pPr>
          </w:p>
        </w:tc>
      </w:tr>
      <w:tr>
        <w:trPr>
          <w:trHeight w:val="148"/>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employee costs</w:t>
            </w:r>
          </w:p>
        </w:tc>
        <w:tc>
          <w:tcPr>
            <w:tcW w:w="8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8,162</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8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(2,818)</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(3,595)</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(3,097)</w:t>
            </w:r>
          </w:p>
        </w:tc>
        <w:tc>
          <w:tcPr>
            <w:tcW w:w="0" w:type="dxa"/>
            <w:vAlign w:val="bottom"/>
          </w:tcPr>
          <w:p>
            <w:pPr>
              <w:spacing w:after="0"/>
              <w:rPr>
                <w:sz w:val="1"/>
                <w:szCs w:val="1"/>
                <w:color w:val="auto"/>
              </w:rPr>
            </w:pPr>
          </w:p>
        </w:tc>
      </w:tr>
      <w:tr>
        <w:trPr>
          <w:trHeight w:val="148"/>
        </w:trPr>
        <w:tc>
          <w:tcPr>
            <w:tcW w:w="66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8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(18,337)</w:t>
            </w:r>
          </w:p>
        </w:tc>
        <w:tc>
          <w:tcPr>
            <w:tcW w:w="8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Borders>
              <w:top w:val="single" w:sz="8" w:color="CFF0FC"/>
              <w:bottom w:val="single" w:sz="8" w:color="CFF0FC"/>
            </w:tcBorders>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8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4"/>
              </w:rPr>
              <w:t>(115,077)</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4"/>
              </w:rPr>
              <w:t>(106,913)</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(118,826)</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property, plant, and equipment (including advance)</w:t>
            </w:r>
          </w:p>
        </w:tc>
        <w:tc>
          <w:tcPr>
            <w:tcW w:w="8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(4,609)</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(5,107)</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(6,104)</w:t>
            </w:r>
          </w:p>
        </w:tc>
        <w:tc>
          <w:tcPr>
            <w:tcW w:w="0" w:type="dxa"/>
            <w:vAlign w:val="bottom"/>
          </w:tcPr>
          <w:p>
            <w:pPr>
              <w:spacing w:after="0"/>
              <w:rPr>
                <w:sz w:val="1"/>
                <w:szCs w:val="1"/>
                <w:color w:val="auto"/>
              </w:rPr>
            </w:pPr>
          </w:p>
        </w:tc>
      </w:tr>
      <w:tr>
        <w:trPr>
          <w:trHeight w:val="149"/>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non-marketable equity investments</w:t>
            </w:r>
          </w:p>
        </w:tc>
        <w:tc>
          <w:tcPr>
            <w:tcW w:w="8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available-for-sale securities</w:t>
            </w:r>
          </w:p>
        </w:tc>
        <w:tc>
          <w:tcPr>
            <w:tcW w:w="8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(75,014)</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(79,980)</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(152,364)</w:t>
            </w:r>
          </w:p>
        </w:tc>
        <w:tc>
          <w:tcPr>
            <w:tcW w:w="0" w:type="dxa"/>
            <w:vAlign w:val="bottom"/>
          </w:tcPr>
          <w:p>
            <w:pPr>
              <w:spacing w:after="0"/>
              <w:rPr>
                <w:sz w:val="1"/>
                <w:szCs w:val="1"/>
                <w:color w:val="auto"/>
              </w:rPr>
            </w:pPr>
          </w:p>
        </w:tc>
      </w:tr>
      <w:tr>
        <w:trPr>
          <w:trHeight w:val="149"/>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109,549</w:t>
            </w:r>
          </w:p>
        </w:tc>
        <w:tc>
          <w:tcPr>
            <w:tcW w:w="2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182,988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232,745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Borders>
              <w:bottom w:val="single" w:sz="8" w:color="CFF0FC"/>
            </w:tcBorders>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8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29,926</w:t>
            </w:r>
          </w:p>
        </w:tc>
        <w:tc>
          <w:tcPr>
            <w:tcW w:w="2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97,901</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69,277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stock in private placement</w:t>
            </w: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32,500</w:t>
            </w: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Transaction costs related to issuance of stock in private placement</w:t>
            </w:r>
          </w:p>
        </w:tc>
        <w:tc>
          <w:tcPr>
            <w:tcW w:w="8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convertible notes</w:t>
            </w: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Transaction costs related to issuance of convertible notes</w:t>
            </w:r>
          </w:p>
        </w:tc>
        <w:tc>
          <w:tcPr>
            <w:tcW w:w="8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(3,072)</w:t>
            </w:r>
          </w:p>
        </w:tc>
        <w:tc>
          <w:tcPr>
            <w:tcW w:w="8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Payments of taxes withheld on net settled vesting of restricted stock units</w:t>
            </w:r>
          </w:p>
        </w:tc>
        <w:tc>
          <w:tcPr>
            <w:tcW w:w="8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48"/>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128,578</w:t>
            </w: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(671)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8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43,427</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(9,683)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(28,873)</w:t>
            </w:r>
          </w:p>
        </w:tc>
        <w:tc>
          <w:tcPr>
            <w:tcW w:w="0" w:type="dxa"/>
            <w:vAlign w:val="bottom"/>
          </w:tcPr>
          <w:p>
            <w:pPr>
              <w:spacing w:after="0"/>
              <w:rPr>
                <w:sz w:val="1"/>
                <w:szCs w:val="1"/>
                <w:color w:val="auto"/>
              </w:rPr>
            </w:pPr>
          </w:p>
        </w:tc>
      </w:tr>
      <w:tr>
        <w:trPr>
          <w:trHeight w:val="148"/>
        </w:trPr>
        <w:tc>
          <w:tcPr>
            <w:tcW w:w="66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cash and cash equivalents</w:t>
            </w:r>
          </w:p>
        </w:tc>
        <w:tc>
          <w:tcPr>
            <w:tcW w:w="8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28,864</w:t>
            </w:r>
          </w:p>
        </w:tc>
        <w:tc>
          <w:tcPr>
            <w:tcW w:w="2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38,547</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67,420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Ending cash and cash equivalents</w:t>
            </w:r>
          </w:p>
        </w:tc>
        <w:tc>
          <w:tcPr>
            <w:tcW w:w="820" w:type="dxa"/>
            <w:vAlign w:val="bottom"/>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72,291</w:t>
            </w:r>
          </w:p>
        </w:tc>
        <w:tc>
          <w:tcPr>
            <w:tcW w:w="260" w:type="dxa"/>
            <w:vAlign w:val="bottom"/>
          </w:tcPr>
          <w:p>
            <w:pPr>
              <w:spacing w:after="0"/>
              <w:rPr>
                <w:sz w:val="12"/>
                <w:szCs w:val="12"/>
                <w:color w:val="auto"/>
              </w:rPr>
            </w:pPr>
          </w:p>
        </w:tc>
        <w:tc>
          <w:tcPr>
            <w:tcW w:w="800" w:type="dxa"/>
            <w:vAlign w:val="bottom"/>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28,864</w:t>
            </w:r>
          </w:p>
        </w:tc>
        <w:tc>
          <w:tcPr>
            <w:tcW w:w="140" w:type="dxa"/>
            <w:vAlign w:val="bottom"/>
          </w:tcPr>
          <w:p>
            <w:pPr>
              <w:spacing w:after="0"/>
              <w:rPr>
                <w:sz w:val="12"/>
                <w:szCs w:val="12"/>
                <w:color w:val="auto"/>
              </w:rPr>
            </w:pPr>
          </w:p>
        </w:tc>
        <w:tc>
          <w:tcPr>
            <w:tcW w:w="4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8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820" w:type="dxa"/>
            <w:vAlign w:val="bottom"/>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Cash paid for income taxes</w:t>
            </w:r>
          </w:p>
        </w:tc>
        <w:tc>
          <w:tcPr>
            <w:tcW w:w="82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174</w:t>
            </w: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165</w:t>
            </w:r>
          </w:p>
        </w:tc>
        <w:tc>
          <w:tcPr>
            <w:tcW w:w="14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4"/>
        </w:trPr>
        <w:tc>
          <w:tcPr>
            <w:tcW w:w="6600" w:type="dxa"/>
            <w:vAlign w:val="bottom"/>
            <w:tcBorders>
              <w:top w:val="single" w:sz="8" w:color="CFF0FC"/>
            </w:tcBorders>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w:t>
            </w:r>
          </w:p>
        </w:tc>
        <w:tc>
          <w:tcPr>
            <w:tcW w:w="8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6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Unpaid property, plant and equipment purchases</w:t>
            </w:r>
          </w:p>
        </w:tc>
        <w:tc>
          <w:tcPr>
            <w:tcW w:w="82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835</w:t>
            </w:r>
          </w:p>
        </w:tc>
        <w:tc>
          <w:tcPr>
            <w:tcW w:w="14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Joint development contract assets</w:t>
            </w:r>
          </w:p>
        </w:tc>
        <w:tc>
          <w:tcPr>
            <w:tcW w:w="820" w:type="dxa"/>
            <w:vAlign w:val="bottom"/>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7,500</w:t>
            </w:r>
          </w:p>
        </w:tc>
        <w:tc>
          <w:tcPr>
            <w:tcW w:w="260" w:type="dxa"/>
            <w:vAlign w:val="bottom"/>
          </w:tcPr>
          <w:p>
            <w:pPr>
              <w:spacing w:after="0"/>
              <w:rPr>
                <w:sz w:val="11"/>
                <w:szCs w:val="11"/>
                <w:color w:val="auto"/>
              </w:rPr>
            </w:pPr>
          </w:p>
        </w:tc>
        <w:tc>
          <w:tcPr>
            <w:tcW w:w="800" w:type="dxa"/>
            <w:vAlign w:val="bottom"/>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0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6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Convertible debt issuance cost included in accounts payable</w:t>
            </w:r>
          </w:p>
        </w:tc>
        <w:tc>
          <w:tcPr>
            <w:tcW w:w="82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297</w:t>
            </w: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Right-of-use asset obtained in exchange for lease liability</w:t>
            </w:r>
          </w:p>
        </w:tc>
        <w:tc>
          <w:tcPr>
            <w:tcW w:w="820" w:type="dxa"/>
            <w:vAlign w:val="bottom"/>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4,760</w:t>
            </w:r>
          </w:p>
        </w:tc>
        <w:tc>
          <w:tcPr>
            <w:tcW w:w="260" w:type="dxa"/>
            <w:vAlign w:val="bottom"/>
          </w:tcPr>
          <w:p>
            <w:pPr>
              <w:spacing w:after="0"/>
              <w:rPr>
                <w:sz w:val="11"/>
                <w:szCs w:val="11"/>
                <w:color w:val="auto"/>
              </w:rPr>
            </w:pPr>
          </w:p>
        </w:tc>
        <w:tc>
          <w:tcPr>
            <w:tcW w:w="800" w:type="dxa"/>
            <w:vAlign w:val="bottom"/>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0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2,995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-2798445</wp:posOffset>
            </wp:positionV>
            <wp:extent cx="10287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-2798445</wp:posOffset>
            </wp:positionV>
            <wp:extent cx="9398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-2798445</wp:posOffset>
            </wp:positionV>
            <wp:extent cx="9398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-2099945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-2099945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-1328420</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-1328420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-1130935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-1130935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-693420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-676910</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-693420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-676910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-385445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-367665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-385445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-367665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-145415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-128270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-145415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-128270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AEVA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ind w:right="50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1. Description of Business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Aeva Technologies, Inc. (the “Company”), through its Frequency Modulated Continuous Wave (“FMCW”) sensing technology, designs a 4D LiDAR-on-chip that, along with its proprietary software applications, has the potential to enable the adoption of LiDAR across broad applications from automated driving to consumer electronics, consumer health, industrial automation and security application.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Select Market under the symbols “AEVA”.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(“GAAP”) and applicable rules and regulations of the Securities and Exchange Commission (“SEC”) regarding annual financial reporting.</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March 18, 2024, the Company filed a Certificate of Amendment to its Amended and Restated Certificate of Incorporation (the “Amendment”) with the Secretary of State of the State of Delaware to effect a 1-for-5 reverse stock split (the “Reverse Stock Split”) of the Company’s shares of common stock, $0.0001 par value (the “common stock”). Pursuant to the Reverse Stock Split, every five (5) shares of issued and outstanding shares of common stock were combined into one (1) share of common stock. Accordingly, unless indicated otherwise, all the current period and historical per share data, number of shares issued and outstanding, stock awards, and other common stock equivalents for the periods presented in this Annual Report on Form 10-K have been adjusted retroactively, where applicable, to reflect the Reverse Stock Split. There was no change to the shares authorized or in the par value per share of common stock of $0.0001.</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Reverse Stock Split affected all stockholders uniformly and did not alter any stockholder’s percentage interest in the Company’s equity. The Company did not issue fractional shares in connection with the Reverse Stock Split. Stockholders who were otherwise entitled to fractional shares of common stock were instead entitled to receive a proportional cash payment. The number of shares of common stock issuable under the Company's equity incentive plans and exercisable under the outstanding warrants were also proportionately adjusted.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Liquidity</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GAAP. The consolidated financial statements include the accounts of the Company’s wholly-owned subsidiaries. All intercompany balances and transactions have been eliminated in consolidation.</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funded its operations primarily through the business combination with InterPrivate Acquisition Corp. (the Company’s predecessor, which was originally incorporated in Delaware as a special purpose acquisition company (“IPV”)), on March 12, 2021 (the “Business Combination”), issuances of stock and convertible notes. As of December 31, 2025, the Company’s existing sources of liquidity included cash and cash equivalents and marketable securities of $121.9 million. The Company has a limited history of operations and has incurred negative cash flows from operating activities and losses from operations in the past as reflected in the accumulated deficit of $757.3 million as of December 31, 2025. The Company expects to continue to incur operating losses due to the investments it intends to make in its business, including product development. Management believes that existing cash and cash equivalents, marketable securities, and the Standby Equity Purchase Agreement (the "Facility Agreement," Note 10) will be sufficient to fund operating and capital expenditure requirements through at least 12 months from the date of issuance of these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68" w:name="page69"/>
    <w:bookmarkEnd w:id="6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those risks common in the technology industry and also those risks common to early stage companies including, but not limited to, the possibility of not being able to successfully develop or market its products, technological obsolescence, competition, dependence on key personnel and key external alliances, the successful protection of its proprietary technologies, compliance with government regulations, and the possibility of not being able to obtain additional financing when needed.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marketable securities, and trade receivables. The Company maintains majority of its cash and cash equivalents in accounts with large financial institutions. At times, balances in these accounts may exceed federally insured limits; however, to date, the Company has not incurred any losses on its deposits of cash and cash equivalents and believes the exposure to risk of loss is not material. Risks associated with the Company’s marketable securities is mitigated by investing in investment-grade rated securities when purchased.</w:t>
      </w:r>
    </w:p>
    <w:p>
      <w:pPr>
        <w:spacing w:after="0" w:line="183"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are derived from customers located in the United States, Asia, and Europe. The Company mitigates its credit risks by performing ongoing credit evaluations of its customers’ financial conditions and requires customer advance payments in certain circumstances. The Company generally does not require collateral.</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three customers accounted for 72% and as of December 31, 2024 five customers accounted for 68% of accounts receivable, respectively. As of December 31, 2025, three vendors accounted for 33% accounts payable and as of December 31, 2024, one vendor accounted for 40% accounts payable each.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judgments, and assumptions that affect the reported amounts of assets and liabilities and disclosure of contingent assets and liabilities at the date of the financial statements and the reported amounts of revenues and expenses during the reporting periods. Significant items subject to such estimates and assumptions include but not limited to revenue recognition, valuation allowance for deferred tax assets, product warranty reserves, stock-based compensation, useful lives of property and equipment, inventory valuation and reserves, useful lives of intangible assets, accrued liabilities, incremental borrowing rate for leases, impairment of long-lived assets, fair value estimates and impairment of investments, loss contingencies and the valuation of the warrants. The Company bases its estimates on historical experience and also on assumptions that it believes are reasonable. Actual results could differ from those estimates, and such differences could be material to the Company’s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accounts receivable, other current assets, accounts payable, accrued liabilities and accrued employee costs approximate their fair value due to their short maturities.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9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Investments Measured Using the Measurement Alternative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holds non-marketable equity investment without readily determinable market values for which the Company does not have the ability to exercise significant influence. The Company accounts for investments in non-marketable equity securities using the measurement alternative. As such, the Company records its investment in these securities at cost minus impairment, if any, plus or minus changes resulting from qualifying observable price changes for an identical or similar investment of the same issuer.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lease liability is determined as the present value of future lease payments using an incremental borrowing rate that the Company would have to pay to borrow equivalent funds on a collateralized basis at the lease commencement date. The right-of-use asset is based on the liability adjusted for any prepaid or deferred rent. The lease term at the commencement date is determined by considering whether renewal options and termination options are reasonably assured of exercise.</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Rent expense for operating leases is recognized on a straight-line basis over the lease term and is included in operating expenses on the consolidated statements of operations and comprehensive loss. Variable lease payments include lease operating expenses.</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elected to exclude from its balance sheets recognition of leases having a term of 12 months or less (short-term leases) and elected to not separate lease components and non-lease components for its long-term real estate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 and Marketable Securities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maturity of three months or less to be cash equivalents. Marketable securities have been classified as available-for-sale and are carried at estimated fair value as determined based upon quoted market prices or pricing models for similar securities. The Company determines the appropriate classification of its investments at the time of purchase.</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evaluates, on a quarterly basis, its marketable securities for potential impairment. For marketable securities in an unrealized loss position, the Company assesses whether such declines are due to credit loss based on factors such as changes to the rating of the security by a ratings agency, market conditions and supportable forecasts of economic and market conditions, among others. If credit loss exists, the Company assesses whether it has plans to sell the security or it is more likely than not it will be required to sell any marketable security before recovery of its amortized cost basis. If either condition is met, the security’s amortized cost basis is written down to fair value and is recognized through other income, net.</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neither condition is met, declines as a result of credit losses, if any, are recognized as an allowance for credit loss, limited to the amount of unrealized loss, through other income (expense), net. Any portion of the unrealized loss that is not a result of a credit loss, is recognized in other comprehensive loss. Realized gains and losses, if any, on marketable securities are included in other income, net. The cost of investments sold is based on the specific identification method. Interest on marketable securities is included in interest income.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Accounts receivable are recorded at the invoiced amount and do not bear interest. The Company reviews the need for an allowance for credit loss quarterly based on historical experience with each customer and the specifics of each arrangement. As of December 31, 2025, the Company recorded an allowance for credit losses of $0.4 million in the consolidated balance sheets as a deduction from the accounts receivable balance. There was no allowance for credit losses or write-offs as of December 31, 2024. The Company does not have any off-balance sheet credit exposure related to its customers.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Inventories consist of raw materials and supplies, work in process, and finished goods. Inventories are stated at the lower of cost or net realizable value. Costs are computed under the standard cost method, which approximates actual costs determined on a first-in, first-out basis. Net realizable value is determined as estimated selling prices in the ordinary course of business, less reasonably predictable costs of disposal and transportation. The Company assesses inventories quarterly for slow-moving products and potential impairment, and records write-downs of inventories to cost of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Depreciation is computed using the straight-line method over the estimated useful lives of the respective assets. Assets are held as construction in progress until placed into service, upon which date, the Company begins to depreciate the assets over their estimated useful lives. The estimated useful lives of the Company’s assets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5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19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5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 years</w:t>
            </w:r>
          </w:p>
        </w:tc>
      </w:tr>
      <w:tr>
        <w:trPr>
          <w:trHeight w:val="202"/>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Lab equipment</w:t>
            </w:r>
          </w:p>
        </w:tc>
        <w:tc>
          <w:tcPr>
            <w:tcW w:w="5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0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 equipment</w:t>
            </w:r>
          </w:p>
        </w:tc>
        <w:tc>
          <w:tcPr>
            <w:tcW w:w="5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 years</w:t>
            </w:r>
          </w:p>
        </w:tc>
      </w:tr>
      <w:tr>
        <w:trPr>
          <w:trHeight w:val="20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Testing equipment</w:t>
            </w:r>
          </w:p>
        </w:tc>
        <w:tc>
          <w:tcPr>
            <w:tcW w:w="5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5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Lesser of estimated useful life or remaining lease term</w:t>
            </w: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5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bl>
    <w:p>
      <w:pPr>
        <w:spacing w:after="0" w:line="2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Expenditures for repairs and maintenance are charged to expense as incurred. When an asset is sold or otherwise disposed of, the cost and associated accumulated depreciation are removed from the accounts and the resulting gain or loss is recognized in the consolidated statement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There was no impairment of long-lived assets during the years ended December 31, 2025 or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typically provides a warranty on its products of one year or less. Estimated future warranty costs are accrued to cost of revenue in the period in which the related revenue is recognized. These estimates are based on historical warranty experience and any known or expected changes in warranty exposure, such as trends of product reliability and costs of repairing and replacing defective products. The Company periodically assesses the adequacy of its recorded warranty liabilities and adjusts the amounts as necessary. Provision for product warranties was immaterial for all periods presented.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recognition revenue through the following steps:</w:t>
      </w:r>
    </w:p>
    <w:p>
      <w:pPr>
        <w:spacing w:after="0" w:line="133" w:lineRule="exact"/>
        <w:rPr>
          <w:sz w:val="20"/>
          <w:szCs w:val="20"/>
          <w:color w:val="auto"/>
        </w:rPr>
      </w:pPr>
    </w:p>
    <w:p>
      <w:pPr>
        <w:ind w:left="1280" w:hanging="509"/>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44"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30"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30"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44"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 or services.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Nature of Products and Services and Revenue Recognition</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Company’s revenue is derived from the sales of perception solution to direct customers and distributors. Revenue is recognized at a point in time when control of the goods is transferred to the customer, generally occurring upon shipment or delivery dependent upon the terms of the underlying contract. The Company typically provides a warranty of one year or less on its products. If the warranty period is sold or extended beyond the standard term, revenue related to the extended warranty is recognized ratably over the related extended warranty period.</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certain custom products that require engineering and development based on customer specifications, the Company recognizes revenue over time using a cost-to-cost measure of progress which the Company believes depicts the transfer of control of the goods or services to the customer. Amounts billed to customers for shipping and handling are included in revenue. Some of the Company’s arrangements provide software embedded in hardware, and promises to update the Company’s software represent immaterial promises in contracts with customers. Taxes collected from customers and remitted to governmental authorities are excluded from revenue.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Arrangements with Multiple Performance Obligations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 a contract involves multiple performance obligations, the Company accounts for individual products and services separately if the customer can benefit from the product or service on its own or with other resources that are readily available to the customer and the product or service is separately identifiable from other promises in the contract. The consideration is allocated between separate performance obligations in proportion to their estimated standalone selling price.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Policies, Judgments and Practical Expedients</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Contract assets and liabilities represent the differences in the timing of revenue recognition from the receipt of cash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customers and billings. Contract assets reflect revenue recognized and performance obligations satisfied in advance of customer billing. Contract liabilities relate to payments received in advance of the satisfaction of performance under the contract. Receivables represents the right to consideration that is unconditional. Such rights are considered unconditional if only the passage of time is required before payment of that consideration is due.</w:t>
      </w:r>
    </w:p>
    <w:p>
      <w:pPr>
        <w:spacing w:after="0" w:line="18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w:t>
      </w:r>
      <w:r>
        <w:rPr>
          <w:rFonts w:ascii="Times New Roman" w:cs="Times New Roman" w:eastAsia="Times New Roman" w:hAnsi="Times New Roman"/>
          <w:sz w:val="18"/>
          <w:szCs w:val="18"/>
          <w:color w:val="auto"/>
        </w:rPr>
        <w:t>Revenue allocated to remaining performance obligations represents the transaction price allocated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that are unsatisfied or partially unsatisfied. It includes unearned revenue and amounts that will be invoiced and recognized as revenue in future periods and does not include contracts where the customer is not committed. The customer is not considered committed where they can terminate for convenience without payment of a substantive penalty under the contract. Additionally, as a practical expedient, the Company has not disclosed the value of unsatisfied performance obligations for contracts with an original expected length of one year or less.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Significant financing component. </w:t>
      </w:r>
      <w:r>
        <w:rPr>
          <w:rFonts w:ascii="Times New Roman" w:cs="Times New Roman" w:eastAsia="Times New Roman" w:hAnsi="Times New Roman"/>
          <w:sz w:val="18"/>
          <w:szCs w:val="18"/>
          <w:color w:val="auto"/>
        </w:rPr>
        <w:t>In certain arrangements, the Company receives payment from a customer either before or after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has been satisfied. However, the Company’s contracts are generally one year or less; therefore, the Company applies a practical expedient and does not consider the effects of the time value of money. The Company’s contracts with customer prepayment terms do not include a significant financing component because the primary purpose is not to receive or provide financing from or to the customer.</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 modifications. </w:t>
      </w:r>
      <w:r>
        <w:rPr>
          <w:rFonts w:ascii="Times New Roman" w:cs="Times New Roman" w:eastAsia="Times New Roman" w:hAnsi="Times New Roman"/>
          <w:sz w:val="18"/>
          <w:szCs w:val="18"/>
          <w:color w:val="auto"/>
        </w:rPr>
        <w:t>The Company may modify contracts to change the scope or price (or both) of a contract. When a modification results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to the scope or price of a contract of the additional products and services are generally considered distinct from those products or services transferred to the customer before the modification. The Company evaluates whether the contract price for the additional products and services reflects the standalone selling price as adjusted for facts and circumstances applicable to that contract. In these cases, the Company accounts for the additional products or services as a separate contract. In other cases where the pricing in the modification does not reflect the standalone selling price as adjusted for facts and circumstances applicable to that contract, the Company accounts for the modification on a prospective basis where the remaining goods and services are distinct from the original items and on a cumulative catch-up basis when the remaining goods and services are not distinct from the original items.</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Judgments and estimates. </w:t>
      </w:r>
      <w:r>
        <w:rPr>
          <w:rFonts w:ascii="Times New Roman" w:cs="Times New Roman" w:eastAsia="Times New Roman" w:hAnsi="Times New Roman"/>
          <w:sz w:val="18"/>
          <w:szCs w:val="18"/>
          <w:color w:val="auto"/>
        </w:rPr>
        <w:t>Judgment is required to determine whether and when a contract modification is approved by the parties or implied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business practices. Judgment is also required in the identification of performance obligations within the Company’s contracts with customers, especially those for certain custom products that require engineering and development. Accounting for contracts recognized over time under Topic 606 involves the use of various techniques to estimate total contract revenue and costs. Due to uncertainties inherent in the estimation process, estimates of costs to complete a performance obligation may be revised. The Company reviews and updates its contract-related estimates regularly, and records adjustments as needed. For those performance obligations for which revenue is recognized using a cost-to-cost method, changes in total estimated costs, and related progress towards complete satisfaction of the performance obligation, are recognized on a cumulative catch-up basis in the period in which the revisions to the estimates are made.</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evaluates variable consideration in arrangements with contract terms such as price concessions and acceptance clauses. The Company generally uses the expected value method, primarily relying on its history, to estimate variable consideration. However, when the Company believes it to provide a better estimate, it uses the most likely amount method. In either case, the Company considers variable consideration only to the extent that it is probable that a significant reversal in the amount of cumulative revenue recognized will not occur. Reassessments of its variable consideration may occur as historical information changes.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cost of revenue principally includes direct material, direct labor, and allocation of overhead associated with manufacturing operations, including inbound freight charges and depreciation. Cost of revenue also includes the direct cost and appropriate allocation of overhead costs involved in the execution of service contracts.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payroll expenses, consulting and contractor expenses, allocated overhead costs, and tooling and prototype materials to the extent no future benefit is expected. Substantially all of the Company’s research and development expenses are related to developing new products and services and improving existing products and services. To date, research and development expenses have been expensed as incurred and included in the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professional services, including legal, accounting, and audit services. General and administrative expenses also include allocated overhead costs such as rent and depreciation, and other general corporate expenses such as travel and recruiting expenses.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measures the cost of stock-based awards granted to employees and directors based on the grant-date fair value of the awards. The grant-date fair value of the stock options is calculated using a Black-Scholes option pricing model. The Black-Scholes pricing model requires the use of subjective assumptions including the option’s expected term, the volatility of the underlying stock, the fair value of the stock, dividend yield rate and the risk-free rate. The fair value of the service condition based restricted stock units (the “RSUs”) is equal to the closing price of the Company’s common stock on the grant date. The fair value of these stock-based grants is recognized on a straight-line basis over the requisite service period, which is generally the vesting period of the award. The fair value of PBRSUs is recognized using the graded-vesting attribution method over the requisite service period.</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Performance based restricted stock units (the “PBRSUs”) have vesting conditions either based on pre-established performance goals of the Company or the performance of the Company’s total shareholder return. For the former, the fair value is determined based on the closing quoted price of the Company’s common stock on the grant date and the fair value is recognized using the graded-vesting attribution method over the requisite service period. For the latter, the Company uses a Monte Carlo simulation model to determine the fair value on the grant date and the fair value is recognized using the graded-vesting attribution method over the requisite service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Income taxes are accounted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these assets are more likely than not to be realized. In making such a determination, all available positive and negative evidence is considered, including future reversals of existing taxable temporary differences, projected future taxable income, tax-planning 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spacing w:after="0" w:line="1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uncertain tax positions in accordance with Topic 740: </w:t>
      </w:r>
      <w:r>
        <w:rPr>
          <w:rFonts w:ascii="Times New Roman" w:cs="Times New Roman" w:eastAsia="Times New Roman" w:hAnsi="Times New Roman"/>
          <w:sz w:val="18"/>
          <w:szCs w:val="18"/>
          <w:i w:val="1"/>
          <w:iCs w:val="1"/>
          <w:color w:val="auto"/>
        </w:rPr>
        <w:t>Simplifying the Accounting for Income Taxes (“Topic 740”)</w:t>
      </w:r>
      <w:r>
        <w:rPr>
          <w:rFonts w:ascii="Times New Roman" w:cs="Times New Roman" w:eastAsia="Times New Roman" w:hAnsi="Times New Roman"/>
          <w:sz w:val="18"/>
          <w:szCs w:val="18"/>
          <w:color w:val="auto"/>
        </w:rPr>
        <w:t xml:space="preserve"> on the basis of a two-step process which includes (1) determination of whether it is more likely than not that the tax positions will be sustained on the basis of the technical merits of the position, and (2) recognition of tax positions that meet the more-likely-than-not recognition threshold. Recognized income tax positions are measured at the largest amount of tax benefit that is more than 50 percent likely to be realized upon ultimate settlement with the related tax authority.</w:t>
      </w:r>
    </w:p>
    <w:p>
      <w:pPr>
        <w:spacing w:after="0" w:line="18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on the income tax expense line in the accompanying statement of operations. Accrued interest and penalties are included on the related tax liability line in the balance sheet.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Gains and losses resulting from foreign exchange transactions and revaluation of monetary assets and liabilities in non-functional currencies are included in other income (expense) in the statements of operations. Net foreign exchange gain (loss) recorded in the Company’s statements of operations was immaterial for all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net loss per share attributable to common stockholders by the weighted average number of common shares used in the net loss per share calculation during the period. Diluted net loss per share attributable to common stockholders is computed by giving effect to all potentially dilutive securities,</w:t>
      </w:r>
    </w:p>
    <w:p>
      <w:pPr>
        <w:spacing w:after="0" w:line="17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weighted-average number of shares of common stock outstanding during the period, including potential dilutive shares of common stock assuming the dilutive effect of outstanding instruments. The treasury stock method is used to determine the dilutive effect of including stock options, restricted stock units (“RSUs”), warrants, convertible notes and share subscription liability which do not represent participating securities. Under this method, adjustments are made to the numerator for any income or loss related to liability classified warrants and share subscription liability, if dilutive, if they are presumed to be share settled.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Share Subscriptions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warrants and other equity-linked contracts (i.e., share subscriptions) as equity or liability-classified instruments based on an assessment of the instrument’s specific terms and applicable authoritative guidance in FASB ASC 480, Distinguishing Liabilities from Equity (“ASC 480”), and ASC 815-40, Derivatives and Hedging – Contract in Entity’s Own Equity (“ASC 815-40”).</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first assesses whether a freestanding equity-linked instrument should be classified as a liability pursuant to ASC 480. Under ASC 480, a freestanding financial instrument is classified as a liability if it is mandatorily redeemable, requires the issuer to settle the instrument or the underlying shares by transferring cash or other assets, or must be settled by issuing a variable number of shares where the monetary value of the obligation is based solely or predominantly on a fixed monetary amount, variations in something other than the fair value of the issuer’s equity shares.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an equity-linked instrument does not trigger liability classification under ASC 480, the Company assesses whether the instrument meets all requirements for equity classification under ASC 815-40, including whether the instrument is indexed to the Company’s own common stock, among other conditions for equity classification. If not, the instrument is classified as a liability and is further analyzed to determine whether the instrument represents a derivative in its entirety. This assessment requires the use of professional judgment and requires reassessment of an instrument’s classification at each reporting period while the instrument remains outstanding.</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Equity-linked instruments that meet all equity classification conditions are recorded as a component of additional paid-in capital at issuance. Equity-linked instruments accounted for as liabilities are recognized and measured at fair value at inception and each reporting period the instrument remains outstanding. Any excess fair value over proceeds to be realized from the equity-linked instruments entered into at arm’s length, along with any changes in fair value, as determined at each reporting period, are recorded as a component of fair value loss on share subscription liability on the consolidated statements of operations and comprehensive loss. Changes in fair value are reported on the consolidated statements of cash flows as a non-cash reconciling item between net loss and net cash flows from operating activities.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5" w:name="page76"/>
    <w:bookmarkEnd w:id="7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Anticipated Losses on Contracts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When estimated contract costs exceed expected consideration under contracts with a customer, the Company evaluates whether the nature of the contract is in the scope of Accounting Standards Codification (“ASC”) 605-35, </w:t>
      </w:r>
      <w:r>
        <w:rPr>
          <w:rFonts w:ascii="Times New Roman" w:cs="Times New Roman" w:eastAsia="Times New Roman" w:hAnsi="Times New Roman"/>
          <w:sz w:val="18"/>
          <w:szCs w:val="18"/>
          <w:i w:val="1"/>
          <w:iCs w:val="1"/>
          <w:color w:val="auto"/>
        </w:rPr>
        <w:t>Revenue Recognition - Construction-Type and Production-Type Contracts</w:t>
      </w:r>
      <w:r>
        <w:rPr>
          <w:rFonts w:ascii="Times New Roman" w:cs="Times New Roman" w:eastAsia="Times New Roman" w:hAnsi="Times New Roman"/>
          <w:sz w:val="18"/>
          <w:szCs w:val="18"/>
          <w:color w:val="auto"/>
        </w:rPr>
        <w:t xml:space="preserve"> (“ASC 605-35”). If ASC 605-35 applies, the Company recognizes a provision for the entire anticipated losses on contracts as soon as the loss becomes evident. In determining the anticipated losses, the Company considers the principles in ASC 606-10-32-2 through 32-27 (except for the guidance in paragraphs 606-10-32-11 through 32-13 on constraining estimates of variable consideration) to determine the transaction price, adjusted to reflect the effects of the customer's credit risk. The costs used in arriving at the estimated loss on a contract shall include all costs of the type allocable to contracts under paragraphs 340-40-25-5 through 25-8. Provisions for anticipated losses, are classified in accrued liabilities on the consolidated balance sheet and as a component of cost of revenue on the consolidated statements of operations and comprehensive loss.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value of the provision for anticipated losses (in thousands):</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contract liability,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Provision for anticipated losses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Settlement of loss contract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contract liability, closing balance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2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2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880" w:space="720"/>
            <w:col w:w="2600"/>
          </w:cols>
          <w:pgMar w:left="320" w:top="1440" w:right="37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applies the provisions of Accounting Standards Update (“ASU”) 2020-06 “</w:t>
      </w:r>
      <w:r>
        <w:rPr>
          <w:rFonts w:ascii="Times New Roman" w:cs="Times New Roman" w:eastAsia="Times New Roman" w:hAnsi="Times New Roman"/>
          <w:sz w:val="18"/>
          <w:szCs w:val="18"/>
          <w:i w:val="1"/>
          <w:iCs w:val="1"/>
          <w:color w:val="auto"/>
        </w:rPr>
        <w:t>Debt with Conversion and Other Options (Subtopic 470-</w:t>
      </w:r>
    </w:p>
    <w:p>
      <w:pPr>
        <w:spacing w:after="0" w:line="29" w:lineRule="exact"/>
        <w:rPr>
          <w:sz w:val="20"/>
          <w:szCs w:val="20"/>
          <w:color w:val="auto"/>
        </w:rPr>
      </w:pPr>
    </w:p>
    <w:p>
      <w:pPr>
        <w:ind w:firstLine="8"/>
        <w:spacing w:after="0" w:line="273" w:lineRule="auto"/>
        <w:tabs>
          <w:tab w:leader="none" w:pos="285"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and Derivatives and Hedging-Contracts in Entity’s Own Equity (Subtopic 815-40)</w:t>
      </w:r>
      <w:r>
        <w:rPr>
          <w:rFonts w:ascii="Times New Roman" w:cs="Times New Roman" w:eastAsia="Times New Roman" w:hAnsi="Times New Roman"/>
          <w:sz w:val="17"/>
          <w:szCs w:val="17"/>
          <w:color w:val="auto"/>
        </w:rPr>
        <w:t>”. The Company’s convertible notes is reflected as a liability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consolidated balance sheets, with the initial carrying amount equal to the principal amount of the notes, net of issuance costs. The issuance costs are treated as a discount for accounting purposes, which will be amortized into interest expense over the term of the instruments utilizing the effective interest method. The Company accounts for its convertible debt as a single liability with no separate accounting for embedded conversion features.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Intangible assets consist of purchased patents that are stated at cost less accumulated amortization. Intangible assets have been determined to have finite lives and are amortized on a straight-line basis over their estimated remaining economic lives, which is estimated at five years. Amortization expense is included in general and administrative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(Topics 740): Improvements to Income Tax Disclosures</w:t>
      </w:r>
      <w:r>
        <w:rPr>
          <w:rFonts w:ascii="Times New Roman" w:cs="Times New Roman" w:eastAsia="Times New Roman" w:hAnsi="Times New Roman"/>
          <w:sz w:val="18"/>
          <w:szCs w:val="18"/>
          <w:color w:val="auto"/>
        </w:rPr>
        <w:t xml:space="preserve">” to expand the disclosure requirements for income taxes, specifically related to the rate reconciliation and income taxes paid. With adoption, the Company is required to disclose additional specified categories in the rate reconciliation in both percentage and dollar amounts. The Company is also required to disclose the amount of income taxes paid disaggregated by jurisdiction, among other disclosure requirements. The Company adopted this ASU on a prospective basis effective January 1, 2025. Refer to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the inclusion of new disclosures required.</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 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to improve the disclosures about an entity’s expenses. Upon adoption, the Company will be required to disclose 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 disaggregation of certain expense categories included within the expense captions on the face of the income statement. The standard is effective for the Company's 2027 annual period, and interim periods beginning in 2028, with early adoption</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76" w:name="page77"/>
    <w:bookmarkEnd w:id="76"/>
    <w:p>
      <w:pPr>
        <w:spacing w:after="0" w:line="1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permitted. The standard can be applied either prospectively or retrospectively. The Company is currently evaluating the potential effect that the updated standard will have on the consolidated financial statements and related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disaggregates its revenue from contracts with customers by geographic region based on the primary billing address of the customer and timing of transfer of goods or services to customers (point-in-time or over time), as it believes it best depicts how the nature, amount, timing and uncertainty of its revenue and cash flows are affected by economic factors. Total revenue for the years ended December 31, 2025, 2024 and 2023, based on the disaggregation criteria described above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3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87"/>
              </w:rPr>
              <w:t>2023</w:t>
            </w:r>
          </w:p>
        </w:tc>
        <w:tc>
          <w:tcPr>
            <w:tcW w:w="160" w:type="dxa"/>
            <w:vAlign w:val="bottom"/>
          </w:tcPr>
          <w:p>
            <w:pPr>
              <w:spacing w:after="0"/>
              <w:rPr>
                <w:sz w:val="17"/>
                <w:szCs w:val="17"/>
                <w:color w:val="auto"/>
              </w:rPr>
            </w:pPr>
          </w:p>
        </w:tc>
      </w:tr>
      <w:tr>
        <w:trPr>
          <w:trHeight w:val="180"/>
        </w:trPr>
        <w:tc>
          <w:tcPr>
            <w:tcW w:w="3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left="179"/>
              <w:spacing w:after="0" w:line="181"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left="159"/>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19"/>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Pr>
          <w:p>
            <w:pPr>
              <w:spacing w:after="0"/>
              <w:rPr>
                <w:sz w:val="15"/>
                <w:szCs w:val="15"/>
                <w:color w:val="auto"/>
              </w:rPr>
            </w:pPr>
          </w:p>
        </w:tc>
      </w:tr>
      <w:tr>
        <w:trPr>
          <w:trHeight w:val="215"/>
        </w:trPr>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90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18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Revenue by primary geographical</w:t>
            </w: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218"/>
        </w:trPr>
        <w:tc>
          <w:tcPr>
            <w:tcW w:w="3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13,289</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7,814</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r>
      <w:tr>
        <w:trPr>
          <w:trHeight w:val="20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Asia</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4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Oceania</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96"/>
        </w:trPr>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18,079</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9,065</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6"/>
              </w:rPr>
              <w:t>100%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Revenue by timing of recognition:</w:t>
            </w: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Recognized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11,069</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r>
      <w:tr>
        <w:trPr>
          <w:trHeight w:val="203"/>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Recognized over time</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7,010</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4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34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96"/>
        </w:trPr>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18,079</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9,065</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6"/>
              </w:rPr>
              <w:t>100%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3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-676275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-676275</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-676275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-676275</wp:posOffset>
            </wp:positionV>
            <wp:extent cx="946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-676275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-676275</wp:posOffset>
            </wp:positionV>
            <wp:extent cx="102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-144780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-144780</wp:posOffset>
            </wp:positionV>
            <wp:extent cx="939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-144780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-144780</wp:posOffset>
            </wp:positionV>
            <wp:extent cx="946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-144780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-144780</wp:posOffset>
            </wp:positionV>
            <wp:extent cx="1028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Point in time revenue was primarily related to product revenue and over time revenue was from non-recurring engineering services.</w:t>
      </w:r>
    </w:p>
    <w:p>
      <w:pPr>
        <w:spacing w:after="0" w:line="225"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three customers accounted for 28%, 18% and 18% of the Company's revenue. For the year ended December 31 2024, two customers accounted for 56% and 16% of the Company's revenue. For the year ended December 31, 2023, two customers accounted for 23% and 22% of the Company’s revenue.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contract assets of $3.3 million and $0.1 million, respectively, recognized in other current assets. As of December 31, 2025 and December 31, 2024, the Company had contract liabilities of $0 million and $4.0 million, respectively, recognized in other current liabilities.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the total amount of the transaction price allocated to unsatisfied performance obligations for contracts with an original duration greater than one year was $34.8 million, of which approximately 31% is expected to be recognized as revenue over the next 12 months, and the remainder thereafter. Total revenue estimates are based on negotiated contract prices and demand quantities, and could be influenced by risks and uncertainties, including manufacturing or supply chain constraints, modifications to customer agreements, and regulatory changes, among other factors. Accordingly, the actual revenue recognized for the remaining performance obligation in future periods may significantly fluctuate from these estimates.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Financial Instruments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and liabilities measured at fair value on a recurring basis by level within the fair value hierarchy: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Adjusted Cost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gridSpan w:val="2"/>
            <w:vMerge w:val="restart"/>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Marketable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60" w:type="dxa"/>
            <w:vAlign w:val="bottom"/>
            <w:gridSpan w:val="5"/>
          </w:tcPr>
          <w:p>
            <w:pPr>
              <w:jc w:val="right"/>
              <w:ind w:right="668"/>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16,690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90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16,690</w:t>
            </w:r>
          </w:p>
        </w:tc>
        <w:tc>
          <w:tcPr>
            <w:tcW w:w="100" w:type="dxa"/>
            <w:vAlign w:val="bottom"/>
          </w:tcPr>
          <w:p>
            <w:pPr>
              <w:spacing w:after="0"/>
              <w:rPr>
                <w:sz w:val="12"/>
                <w:szCs w:val="12"/>
                <w:color w:val="auto"/>
              </w:rPr>
            </w:pP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16,690</w:t>
            </w:r>
          </w:p>
        </w:tc>
        <w:tc>
          <w:tcPr>
            <w:tcW w:w="120" w:type="dxa"/>
            <w:vAlign w:val="bottom"/>
          </w:tcPr>
          <w:p>
            <w:pPr>
              <w:spacing w:after="0"/>
              <w:rPr>
                <w:sz w:val="12"/>
                <w:szCs w:val="12"/>
                <w:color w:val="auto"/>
              </w:rPr>
            </w:pPr>
          </w:p>
        </w:tc>
        <w:tc>
          <w:tcPr>
            <w:tcW w:w="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Money market funds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16,977</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tcBorders>
              <w:right w:val="single" w:sz="8" w:color="CFF0FC"/>
            </w:tcBorders>
            <w:gridSpan w:val="3"/>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16,977</w:t>
            </w: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Level 2</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U.S. Government securities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20,818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U.S. Treasury securities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13,460</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13,458</w:t>
            </w: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7,989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Commercial paper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45,480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8,478</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8,477</w:t>
            </w:r>
          </w:p>
        </w:tc>
        <w:tc>
          <w:tcPr>
            <w:tcW w:w="10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80" w:type="dxa"/>
            <w:vAlign w:val="bottom"/>
            <w:tcBorders>
              <w:top w:val="single" w:sz="8" w:color="CFF0FC"/>
            </w:tcBorders>
          </w:tcPr>
          <w:p>
            <w:pPr>
              <w:ind w:left="120"/>
              <w:spacing w:after="0" w:line="136" w:lineRule="exact"/>
              <w:rPr>
                <w:sz w:val="20"/>
                <w:szCs w:val="20"/>
                <w:color w:val="auto"/>
              </w:rPr>
            </w:pPr>
            <w:r>
              <w:rPr>
                <w:rFonts w:ascii="Times New Roman" w:cs="Times New Roman" w:eastAsia="Times New Roman" w:hAnsi="Times New Roman"/>
                <w:sz w:val="14"/>
                <w:szCs w:val="14"/>
                <w:color w:val="auto"/>
              </w:rPr>
              <w:t>Subtotal</w:t>
            </w: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88,236</w:t>
            </w: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88,232</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38,624</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49,608</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8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121,903</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FF0FC"/>
          </w:tcPr>
          <w:p>
            <w:pPr>
              <w:spacing w:after="0"/>
              <w:rPr>
                <w:sz w:val="15"/>
                <w:szCs w:val="15"/>
                <w:color w:val="auto"/>
              </w:rPr>
            </w:pPr>
          </w:p>
        </w:tc>
        <w:tc>
          <w:tcPr>
            <w:tcW w:w="220" w:type="dxa"/>
            <w:vAlign w:val="bottom"/>
            <w:tcBorders>
              <w:left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Borders>
              <w:right w:val="single" w:sz="8" w:color="CFF0FC"/>
            </w:tcBorders>
            <w:shd w:val="clear" w:color="auto" w:fill="CFF0FC"/>
          </w:tcPr>
          <w:p>
            <w:pPr>
              <w:spacing w:after="0"/>
              <w:rPr>
                <w:sz w:val="15"/>
                <w:szCs w:val="15"/>
                <w:color w:val="auto"/>
              </w:rPr>
            </w:pPr>
          </w:p>
        </w:tc>
        <w:tc>
          <w:tcPr>
            <w:tcW w:w="2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121,899</w:t>
            </w: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72,291</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49,608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8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Level 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tcBorders>
              <w:right w:val="single" w:sz="8" w:color="CFF0FC"/>
            </w:tcBorders>
            <w:gridSpan w:val="3"/>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100,958</w:t>
            </w: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8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29,711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tcBorders>
              <w:left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4"/>
                <w:szCs w:val="14"/>
                <w:color w:val="auto"/>
              </w:rPr>
            </w:pPr>
          </w:p>
        </w:tc>
        <w:tc>
          <w:tcPr>
            <w:tcW w:w="900" w:type="dxa"/>
            <w:vAlign w:val="bottom"/>
            <w:tcBorders>
              <w:right w:val="single" w:sz="8" w:color="CFF0FC"/>
            </w:tcBorders>
            <w:gridSpan w:val="3"/>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130,669</w:t>
            </w:r>
          </w:p>
        </w:tc>
        <w:tc>
          <w:tcPr>
            <w:tcW w:w="10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Marketable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Adjusted Cost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14,237</w:t>
            </w: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14,237</w:t>
            </w: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14,237</w:t>
            </w:r>
          </w:p>
        </w:tc>
        <w:tc>
          <w:tcPr>
            <w:tcW w:w="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Money market funds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10,645</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tcBorders>
              <w:right w:val="single" w:sz="8" w:color="CFF0FC"/>
            </w:tcBorders>
            <w:gridSpan w:val="3"/>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10,645</w:t>
            </w: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10,645</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Level 2</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U.S. Government securities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17,492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17,504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17,504</w:t>
            </w: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U.S. Treasury securities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10,957</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tcBorders>
              <w:right w:val="single" w:sz="8" w:color="CFF0FC"/>
            </w:tcBorders>
            <w:gridSpan w:val="3"/>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10,963</w:t>
            </w: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8,963</w:t>
            </w:r>
          </w:p>
        </w:tc>
        <w:tc>
          <w:tcPr>
            <w:tcW w:w="0" w:type="dxa"/>
            <w:vAlign w:val="bottom"/>
          </w:tcPr>
          <w:p>
            <w:pPr>
              <w:spacing w:after="0"/>
              <w:rPr>
                <w:sz w:val="1"/>
                <w:szCs w:val="1"/>
                <w:color w:val="auto"/>
              </w:rPr>
            </w:pPr>
          </w:p>
        </w:tc>
      </w:tr>
      <w:tr>
        <w:trPr>
          <w:trHeight w:val="148"/>
        </w:trPr>
        <w:tc>
          <w:tcPr>
            <w:tcW w:w="28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Commercial paper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12,711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10,734</w:t>
            </w:r>
          </w:p>
        </w:tc>
        <w:tc>
          <w:tcPr>
            <w:tcW w:w="0" w:type="dxa"/>
            <w:vAlign w:val="bottom"/>
          </w:tcPr>
          <w:p>
            <w:pPr>
              <w:spacing w:after="0"/>
              <w:rPr>
                <w:sz w:val="1"/>
                <w:szCs w:val="1"/>
                <w:color w:val="auto"/>
              </w:rPr>
            </w:pPr>
          </w:p>
        </w:tc>
      </w:tr>
      <w:tr>
        <w:trPr>
          <w:trHeight w:val="149"/>
        </w:trPr>
        <w:tc>
          <w:tcPr>
            <w:tcW w:w="28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45,918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tcBorders>
              <w:right w:val="single" w:sz="8" w:color="CFF0FC"/>
            </w:tcBorders>
            <w:gridSpan w:val="3"/>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45,942</w:t>
            </w: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45,942</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Subtotal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87,078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87,125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3,982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83,143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111,960</w:t>
            </w:r>
          </w:p>
        </w:tc>
        <w:tc>
          <w:tcPr>
            <w:tcW w:w="14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640" w:type="dxa"/>
            <w:vAlign w:val="bottom"/>
            <w:tcBorders>
              <w:left w:val="single" w:sz="8" w:color="CFF0FC"/>
            </w:tcBorders>
            <w:gridSpan w:val="3"/>
            <w:shd w:val="clear" w:color="auto" w:fill="CFF0FC"/>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FF0FC"/>
            </w:tcBorders>
            <w:gridSpan w:val="3"/>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112,007</w:t>
            </w:r>
          </w:p>
        </w:tc>
        <w:tc>
          <w:tcPr>
            <w:tcW w:w="2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28,864</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83,143</w:t>
            </w:r>
          </w:p>
        </w:tc>
        <w:tc>
          <w:tcPr>
            <w:tcW w:w="0" w:type="dxa"/>
            <w:vAlign w:val="bottom"/>
          </w:tcPr>
          <w:p>
            <w:pPr>
              <w:spacing w:after="0"/>
              <w:rPr>
                <w:sz w:val="1"/>
                <w:szCs w:val="1"/>
                <w:color w:val="auto"/>
              </w:rPr>
            </w:pPr>
          </w:p>
        </w:tc>
      </w:tr>
      <w:tr>
        <w:trPr>
          <w:trHeight w:val="129"/>
        </w:trPr>
        <w:tc>
          <w:tcPr>
            <w:tcW w:w="28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Level 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tcBorders>
              <w:right w:val="single" w:sz="8" w:color="CFF0FC"/>
            </w:tcBorders>
            <w:gridSpan w:val="3"/>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8,258</w:t>
            </w: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8,258</w:t>
            </w:r>
          </w:p>
        </w:tc>
        <w:tc>
          <w:tcPr>
            <w:tcW w:w="2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-3162300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-3162300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-3166745</wp:posOffset>
            </wp:positionV>
            <wp:extent cx="102235"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235" cy="137160"/>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-3166745</wp:posOffset>
            </wp:positionV>
            <wp:extent cx="10287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-3166745</wp:posOffset>
            </wp:positionV>
            <wp:extent cx="9398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-2948305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-2931160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-2948305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-2931160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-2948305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-2931160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-2948305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-2931160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-2948305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-2931160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-2348230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-2331085</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-2348230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-2331085</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-2348230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-2331085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-2348230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-2331085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-2348230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-2331085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-736600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-736600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-736600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-736600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-736600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-530860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-513715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-530860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-513715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-530860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-513715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-530860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-513715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-530860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-513715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-128270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-128270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-128270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-128270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-128270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warrants and Series A Warrants is based on significant unobservable inputs, which represent Level 3 measurements within the fair value hierarchy. In determining the fair value of the warrant liabilities, the Company used the Black-Scholes option-pricing model to estimate the fair value using unobservable inputs including the expected term, expected volatility, risk-free interest rate, and dividend yield.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Company’s Level 3 financial instruments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beginning balance</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Change in the fair value of Series A warrants included in other income</w:t>
            </w: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 net</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the fair value of private placement warrants included</w:t>
            </w:r>
          </w:p>
        </w:tc>
        <w:tc>
          <w:tcPr>
            <w:tcW w:w="200" w:type="dxa"/>
            <w:vAlign w:val="bottom"/>
            <w:shd w:val="clear" w:color="auto" w:fill="CFF0FC"/>
          </w:tcPr>
          <w:p>
            <w:pPr>
              <w:spacing w:after="0"/>
              <w:rPr>
                <w:sz w:val="16"/>
                <w:szCs w:val="16"/>
                <w:color w:val="auto"/>
              </w:rPr>
            </w:pPr>
          </w:p>
        </w:tc>
        <w:tc>
          <w:tcPr>
            <w:tcW w:w="19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 other income (expense), net</w:t>
            </w:r>
          </w:p>
        </w:tc>
        <w:tc>
          <w:tcPr>
            <w:tcW w:w="200" w:type="dxa"/>
            <w:vAlign w:val="bottom"/>
            <w:shd w:val="clear" w:color="auto" w:fill="CFF0FC"/>
          </w:tcPr>
          <w:p>
            <w:pPr>
              <w:spacing w:after="0"/>
              <w:rPr>
                <w:sz w:val="17"/>
                <w:szCs w:val="17"/>
                <w:color w:val="auto"/>
              </w:rPr>
            </w:pPr>
          </w:p>
        </w:tc>
        <w:tc>
          <w:tcPr>
            <w:tcW w:w="198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Fair value, closing balance</w:t>
            </w: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29,711</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-162560</wp:posOffset>
            </wp:positionV>
            <wp:extent cx="768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key inputs into the Black-Scholes option pricing model for the private warrants were as follows for the relevant periods: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25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FF0FC"/>
          </w:tcPr>
          <w:p>
            <w:pPr>
              <w:spacing w:after="0"/>
              <w:rPr>
                <w:sz w:val="17"/>
                <w:szCs w:val="17"/>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101.0%</w:t>
            </w:r>
          </w:p>
        </w:tc>
        <w:tc>
          <w:tcPr>
            <w:tcW w:w="17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90.0%</w:t>
            </w:r>
          </w:p>
        </w:tc>
      </w:tr>
      <w:tr>
        <w:trPr>
          <w:trHeight w:val="20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5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3.67%</w:t>
            </w:r>
          </w:p>
        </w:tc>
        <w:tc>
          <w:tcPr>
            <w:tcW w:w="170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4.21%</w:t>
            </w: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w:t>
            </w:r>
          </w:p>
        </w:tc>
        <w:tc>
          <w:tcPr>
            <w:tcW w:w="17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4240" w:type="dxa"/>
            <w:vAlign w:val="bottom"/>
            <w:gridSpan w:val="2"/>
            <w:shd w:val="clear" w:color="auto" w:fill="CFF0FC"/>
          </w:tcPr>
          <w:p>
            <w:pPr>
              <w:jc w:val="right"/>
              <w:ind w:right="151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57.50</w:t>
            </w:r>
          </w:p>
        </w:tc>
        <w:tc>
          <w:tcPr>
            <w:tcW w:w="3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153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57.50</w:t>
            </w:r>
          </w:p>
        </w:tc>
        <w:tc>
          <w:tcPr>
            <w:tcW w:w="140" w:type="dxa"/>
            <w:vAlign w:val="bottom"/>
            <w:shd w:val="clear" w:color="auto" w:fill="CFF0FC"/>
          </w:tcPr>
          <w:p>
            <w:pPr>
              <w:spacing w:after="0"/>
              <w:rPr>
                <w:sz w:val="17"/>
                <w:szCs w:val="17"/>
                <w:color w:val="auto"/>
              </w:rPr>
            </w:pPr>
          </w:p>
        </w:tc>
      </w:tr>
      <w:tr>
        <w:trPr>
          <w:trHeight w:val="459"/>
        </w:trPr>
        <w:tc>
          <w:tcPr>
            <w:tcW w:w="1072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The key inputs into the Black-Scholes option pricing model for the Series A warrants were as follows for the relevant periods: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256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FF0FC"/>
          </w:tcPr>
          <w:p>
            <w:pPr>
              <w:spacing w:after="0"/>
              <w:rPr>
                <w:sz w:val="17"/>
                <w:szCs w:val="17"/>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101.0%</w:t>
            </w:r>
          </w:p>
        </w:tc>
        <w:tc>
          <w:tcPr>
            <w:tcW w:w="240" w:type="dxa"/>
            <w:vAlign w:val="bottom"/>
          </w:tcPr>
          <w:p>
            <w:pPr>
              <w:spacing w:after="0"/>
              <w:rPr>
                <w:sz w:val="17"/>
                <w:szCs w:val="17"/>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90.0%</w:t>
            </w:r>
          </w:p>
        </w:tc>
      </w:tr>
      <w:tr>
        <w:trPr>
          <w:trHeight w:val="20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5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3.48%</w:t>
            </w:r>
          </w:p>
        </w:tc>
        <w:tc>
          <w:tcPr>
            <w:tcW w:w="24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4.23%</w:t>
            </w: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spacing w:after="0"/>
              <w:rPr>
                <w:sz w:val="17"/>
                <w:szCs w:val="17"/>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4240" w:type="dxa"/>
            <w:vAlign w:val="bottom"/>
            <w:gridSpan w:val="2"/>
            <w:shd w:val="clear" w:color="auto" w:fill="CFF0FC"/>
          </w:tcPr>
          <w:p>
            <w:pPr>
              <w:jc w:val="right"/>
              <w:ind w:right="151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shd w:val="clear" w:color="auto" w:fill="CFF0FC"/>
          </w:tcPr>
          <w:p>
            <w:pPr>
              <w:spacing w:after="0"/>
              <w:rPr>
                <w:sz w:val="17"/>
                <w:szCs w:val="17"/>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fair value of the Company’s convertible notes was $101.0 million. The Company measures the fair value of its convertible notes for disclosure purposes. The fair value was determined based on the Lattice model and has been classified as Level 3 in the fair value hierarchy. See Note 10 “Financing transactions” for information regarding the Company’s convertible notes as of December 31, 2025. The key inputs into the Lattice model for the Convertible notes were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2"/>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36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tcPr>
          <w:p>
            <w:pPr>
              <w:spacing w:after="0"/>
              <w:rPr>
                <w:sz w:val="17"/>
                <w:szCs w:val="17"/>
                <w:color w:val="auto"/>
              </w:rPr>
            </w:pPr>
          </w:p>
        </w:tc>
      </w:tr>
      <w:tr>
        <w:trPr>
          <w:trHeight w:val="203"/>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360" w:type="dxa"/>
            <w:vAlign w:val="bottom"/>
            <w:shd w:val="clear" w:color="auto" w:fill="CFF0FC"/>
          </w:tcPr>
          <w:p>
            <w:pPr>
              <w:spacing w:after="0"/>
              <w:rPr>
                <w:sz w:val="17"/>
                <w:szCs w:val="17"/>
                <w:color w:val="auto"/>
              </w:rPr>
            </w:pPr>
          </w:p>
        </w:tc>
        <w:tc>
          <w:tcPr>
            <w:tcW w:w="2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87.7%</w:t>
            </w:r>
          </w:p>
        </w:tc>
      </w:tr>
      <w:tr>
        <w:trPr>
          <w:trHeight w:val="202"/>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360" w:type="dxa"/>
            <w:vAlign w:val="bottom"/>
          </w:tcPr>
          <w:p>
            <w:pPr>
              <w:spacing w:after="0"/>
              <w:rPr>
                <w:sz w:val="17"/>
                <w:szCs w:val="17"/>
                <w:color w:val="auto"/>
              </w:rPr>
            </w:pPr>
          </w:p>
        </w:tc>
        <w:tc>
          <w:tcPr>
            <w:tcW w:w="2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3.90%</w:t>
            </w:r>
          </w:p>
        </w:tc>
      </w:tr>
      <w:tr>
        <w:trPr>
          <w:trHeight w:val="203"/>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rate</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40" w:type="dxa"/>
            <w:vAlign w:val="bottom"/>
            <w:shd w:val="clear" w:color="auto" w:fill="CFF0FC"/>
          </w:tcPr>
          <w:p>
            <w:pPr>
              <w:spacing w:after="0"/>
              <w:rPr>
                <w:sz w:val="17"/>
                <w:szCs w:val="17"/>
                <w:color w:val="auto"/>
              </w:rPr>
            </w:pP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Share price</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 and Intangible Assets</w:t>
      </w:r>
    </w:p>
    <w:p>
      <w:pPr>
        <w:spacing w:after="0" w:line="13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purchased certain intellectual property for a total consideration of approximately $4.5 million in cash. The assets acquired primarily consists of intellectual property (patents).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applied a screen test to evaluate if substantially all of the fair value of the gross assets acquired is concentrated in a single identifiable asset or group of similar identifiable assets and determine the transaction should be accounted for as an asset acquisition. Since the only substantive assets acquired was intellectual property the entire purchase price was allocated to the intellectual property. The acquired intellectual property has a weighted-average useful life of 5 years. The Company recorded amortization expense related to the acquired intangible assets of $0.9 million for each of the years ended December 31, 2025, 2024 and 2023.</w:t>
      </w:r>
    </w:p>
    <w:p>
      <w:pPr>
        <w:spacing w:after="0" w:line="210"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expected amortization expense relating to purchased intangible assets over the remaining life was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Intangibles</w:t>
            </w:r>
          </w:p>
        </w:tc>
      </w:tr>
      <w:tr>
        <w:trPr>
          <w:trHeight w:val="199"/>
        </w:trPr>
        <w:tc>
          <w:tcPr>
            <w:tcW w:w="8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Total future amortization</w:t>
            </w: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tcPr>
          <w:p>
            <w:pPr>
              <w:spacing w:after="0"/>
              <w:rPr>
                <w:sz w:val="17"/>
                <w:szCs w:val="17"/>
                <w:color w:val="auto"/>
              </w:rPr>
            </w:pPr>
          </w:p>
        </w:tc>
      </w:tr>
      <w:tr>
        <w:trPr>
          <w:trHeight w:val="20"/>
        </w:trPr>
        <w:tc>
          <w:tcPr>
            <w:tcW w:w="8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9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118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Work-in-progress</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7"/>
                <w:szCs w:val="17"/>
                <w:color w:val="auto"/>
              </w:rPr>
            </w:pPr>
          </w:p>
        </w:tc>
      </w:tr>
      <w:tr>
        <w:trPr>
          <w:trHeight w:val="203"/>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9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inventories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5,787</w:t>
            </w:r>
          </w:p>
        </w:tc>
        <w:tc>
          <w:tcPr>
            <w:tcW w:w="118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-162560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Plant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consists of the following (in thousands):</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65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5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65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3,121</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Lab equipment</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8,328</w:t>
            </w:r>
          </w:p>
        </w:tc>
        <w:tc>
          <w:tcPr>
            <w:tcW w:w="100" w:type="dxa"/>
            <w:vAlign w:val="bottom"/>
          </w:tcPr>
          <w:p>
            <w:pPr>
              <w:spacing w:after="0"/>
              <w:rPr>
                <w:sz w:val="17"/>
                <w:szCs w:val="17"/>
                <w:color w:val="auto"/>
              </w:rPr>
            </w:pPr>
          </w:p>
        </w:tc>
      </w:tr>
      <w:tr>
        <w:trPr>
          <w:trHeight w:val="203"/>
        </w:trPr>
        <w:tc>
          <w:tcPr>
            <w:tcW w:w="65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6,863</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7"/>
                <w:szCs w:val="17"/>
                <w:color w:val="auto"/>
              </w:rPr>
            </w:pPr>
          </w:p>
        </w:tc>
      </w:tr>
      <w:tr>
        <w:trPr>
          <w:trHeight w:val="203"/>
        </w:trPr>
        <w:tc>
          <w:tcPr>
            <w:tcW w:w="65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Testing equipment</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Manufacturing equipment</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5,531</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100" w:type="dxa"/>
            <w:vAlign w:val="bottom"/>
          </w:tcPr>
          <w:p>
            <w:pPr>
              <w:spacing w:after="0"/>
              <w:rPr>
                <w:sz w:val="17"/>
                <w:szCs w:val="17"/>
                <w:color w:val="auto"/>
              </w:rPr>
            </w:pPr>
          </w:p>
        </w:tc>
      </w:tr>
      <w:tr>
        <w:trPr>
          <w:trHeight w:val="203"/>
        </w:trPr>
        <w:tc>
          <w:tcPr>
            <w:tcW w:w="650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fixtures and other equipment</w:t>
            </w: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30,069</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23,076</w:t>
            </w:r>
          </w:p>
        </w:tc>
        <w:tc>
          <w:tcPr>
            <w:tcW w:w="100" w:type="dxa"/>
            <w:vAlign w:val="bottom"/>
          </w:tcPr>
          <w:p>
            <w:pPr>
              <w:spacing w:after="0"/>
              <w:rPr>
                <w:sz w:val="17"/>
                <w:szCs w:val="17"/>
                <w:color w:val="auto"/>
              </w:rPr>
            </w:pPr>
          </w:p>
        </w:tc>
      </w:tr>
      <w:tr>
        <w:trPr>
          <w:trHeight w:val="203"/>
        </w:trPr>
        <w:tc>
          <w:tcPr>
            <w:tcW w:w="65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(17,224)</w:t>
            </w:r>
          </w:p>
        </w:tc>
        <w:tc>
          <w:tcPr>
            <w:tcW w:w="5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(12,744)</w:t>
            </w:r>
          </w:p>
        </w:tc>
      </w:tr>
      <w:tr>
        <w:trPr>
          <w:trHeight w:val="20"/>
        </w:trPr>
        <w:tc>
          <w:tcPr>
            <w:tcW w:w="6500" w:type="dxa"/>
            <w:vAlign w:val="bottom"/>
            <w:tcBorders>
              <w:right w:val="single" w:sz="8" w:color="CFF0FC"/>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102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12,845</w:t>
            </w:r>
          </w:p>
        </w:tc>
        <w:tc>
          <w:tcPr>
            <w:tcW w:w="280" w:type="dxa"/>
            <w:vAlign w:val="bottom"/>
          </w:tcPr>
          <w:p>
            <w:pPr>
              <w:spacing w:after="0"/>
              <w:rPr>
                <w:sz w:val="17"/>
                <w:szCs w:val="17"/>
                <w:color w:val="auto"/>
              </w:rPr>
            </w:pPr>
          </w:p>
        </w:tc>
        <w:tc>
          <w:tcPr>
            <w:tcW w:w="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10,332</w:t>
            </w:r>
          </w:p>
        </w:tc>
        <w:tc>
          <w:tcPr>
            <w:tcW w:w="100" w:type="dxa"/>
            <w:vAlign w:val="bottom"/>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-427990</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-427990</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-161925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-161925</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related to property, plant and equipment was $4.5 million, $4.6 million, and $3.7 million for the years ended December 31, 2025, 2024 and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0" w:name="page81"/>
    <w:bookmarkEnd w:id="8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 of the following (in thousands):</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36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8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Joint development agreement receivable</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Contract assets</w:t>
            </w:r>
          </w:p>
        </w:tc>
        <w:tc>
          <w:tcPr>
            <w:tcW w:w="10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Vendor deposits</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7"/>
                <w:szCs w:val="17"/>
                <w:color w:val="auto"/>
              </w:rPr>
            </w:pPr>
          </w:p>
        </w:tc>
      </w:tr>
      <w:tr>
        <w:trPr>
          <w:trHeight w:val="203"/>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0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9,039</w:t>
            </w:r>
          </w:p>
        </w:tc>
        <w:tc>
          <w:tcPr>
            <w:tcW w:w="2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other current assets</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22,476</w:t>
            </w: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7,761</w:t>
            </w:r>
          </w:p>
        </w:tc>
        <w:tc>
          <w:tcPr>
            <w:tcW w:w="10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-162560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Other non-current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12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00" w:type="dxa"/>
            <w:vAlign w:val="bottom"/>
            <w:vMerge w:val="restart"/>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00" w:type="dxa"/>
            <w:vAlign w:val="bottom"/>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Non-marketable equity investments</w:t>
            </w:r>
          </w:p>
        </w:tc>
        <w:tc>
          <w:tcPr>
            <w:tcW w:w="128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9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Security deposits</w:t>
            </w:r>
          </w:p>
        </w:tc>
        <w:tc>
          <w:tcPr>
            <w:tcW w:w="1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Joint development agreement receivable</w:t>
            </w:r>
          </w:p>
        </w:tc>
        <w:tc>
          <w:tcPr>
            <w:tcW w:w="12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1280" w:type="dxa"/>
            <w:vAlign w:val="bottom"/>
            <w:tcBorders>
              <w:bottom w:val="single" w:sz="8" w:color="auto"/>
            </w:tcBorders>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3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November 2023, the Company made an investment in 700,440 shares of preferred stock of a private company for a cash consideration of $5.0 million. The Company’s investment in the private company represents less than 1% of total capitalization. The Company neither has significant influence over the private company nor does the investment amount to a controlling financial interest in the private company. The Company elected to apply the measurement alternative, and as such, records the investment at cost minus impairment, if any, plus or minus changes resulting from qualifying observable price changes in orderly transactions. During the fiscal year ended December 31, 2025, the Company did not identify any impairment or observable price changes for this non-marketable equity investment.</w:t>
      </w:r>
    </w:p>
    <w:p>
      <w:pPr>
        <w:sectPr>
          <w:pgSz w:w="11900" w:h="16838" w:orient="portrait"/>
          <w:cols w:equalWidth="0" w:num="1">
            <w:col w:w="11240"/>
          </w:cols>
          <w:pgMar w:left="320" w:top="1440" w:right="339" w:bottom="1440" w:gutter="0" w:footer="0" w:header="0"/>
        </w:sect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Other current liabilities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Litigation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Total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8"/>
        </w:trPr>
        <w:tc>
          <w:tcPr>
            <w:tcW w:w="20" w:type="dxa"/>
            <w:vAlign w:val="bottom"/>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w:t>
            </w: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02"/>
        </w:trPr>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19,174</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720"/>
            <w:col w:w="3500"/>
          </w:cols>
          <w:pgMar w:left="320" w:top="1440"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Financing transaction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Investment</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November 8, 2023, the Company entered into subscription agreements (the “Subscription Agreements”) with entities affiliated with Sylebra Capital Limited (“Sylebra”) and Adage Capital Management, providing for the purchase of an aggregate of 7,360,460 shares of the Company’s common stock, par value $0.0001 per share (the “PIPE Shares”), at a purchase price of $2.90 per share for aggregate gross proceeds of approximately $21.4 million (the “Private Placement”). Sylebra is a related party due to its shareholding in the Company and representation on the Company’s board of directors.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1" w:name="page82"/>
    <w:bookmarkEnd w:id="81"/>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November 8, 2023, the Company also entered into a Standby Equity Purchase Agreement (as amended from time to time, the “Facility Agreement”) with entities affiliated with Sylebra, pursuant to which the Company will have the right, but not the obligation to sell to Sylebra up to $125 million of its shares of convertible redeemable non-voting preferred stock, subject to satisfaction of certain conditions, by November 8, 2026. Each sale the Company requests under the Facility Agreement (each, an “Advance” and collectively, the “Advances”) may be for a number of shares of preferred stock with an aggregate value of at least $25.0 million but not more than $50.0 million (except with Sylebra’s consent).</w:t>
      </w:r>
    </w:p>
    <w:p>
      <w:pPr>
        <w:spacing w:after="0" w:line="183"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When and if issued, the preferred stock will be issued at a price per share of $10,000. Holders of the preferred stock will be entitled to a quarterly dividend at the rate of 7.0% per annum payable in cash or in kind at the option of the Company. The preferred stock will have an initial liquidation preference of $12,000 per share, plus accrued dividends. The preferred stock will have no voting rights as a class or series except in such instances as required by Delaware law or certain matters enumerated in the Facility Agreement related to the protection of the preferred stock.</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preferred stock will be convertible at the option of the holders into the number of shares of common stock equal to $10,000 divided by the then-applicable conversion price. At any time after the two year anniversary of any issuance of any series of preferred stock, the Company will have the option to convert all (but not less than all) of any series of then-outstanding preferred stock by paying a make-whole payment, in either stock or cash, equal to three years of dividends, provided that the closing price of the common stock exceeds 250% of the then-applicable conversion price for at least 20 out of 30 consecutive trading days prior to the date of conversion. To the extent, if any, a conversion would result in the holder thereof becoming the beneficial owner of more than 16,428,553 shares of the Company’s outstanding common stock, the Company will issue to such holder a pre-funded warrant in the form attached to the Facility Agreement. The preferred stock will be subject to customary pre-emptive rights.</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Company’s right to request Advances is conditioned upon the Company achieving a minimum of one new passenger auto-original equipment manufacturer (“OEM”) or commercial OEM program award with at least a 50,000 unit volume, the trading price of the common stock being below $38 at the time of the Advance request and other customary conditions. As of December 31, 2025, all conditions to request an Advance under the Facility Agreement were met.</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Any preferred stock issued in connection with the Facility Agreement will rank senior to common stock upon the Company’s liquidation, dissolution or winding up. Any such preferred stock will be entitled to priority cumulative dividends which shall accrue daily from and after the original issue date of such preferred stock and shall compound on a quarterly basis on each dividend payment date. The accrued dividends shall in all cases be payable upon liquidation.</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shall pay dividends on each share of preferred stock in cash or in kind through issuance of shares of common stock with an aggregate value equal to the amount of the dividend to have been paid divided by the dividend conversion price. The board of directors of the Company may at its sole discretion elect to pay the dividends in cash in lieu of shares of common stock. The preferred stock has no voting rights unless it is converted into shares of common stock. Additionally, upon the occurrence of a change of control, the holders of preferred stock shall be entitled to receive in full a liquidating purchase in cash and in the amount per share of the preferred stock equal to the sum of (i) the liquidation preference plus (ii) accrued dividends with respect to such shares of preferred stock.</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this financing, the Company also paid the entities affiliated with Sylebra, (a) a facility fee in the amount of $2.5 million, (b) an origination fee in the amount of $0.6 million, (c) an administrative fee in the amount of $0.3 million and (d) fees and expenses of Sylebra and its counsel, of approximately $0.4 million. The issuance costs related to the Facility Agreement were expensed as incurred as it failed to meet the equity classification guidance under ASC 815-40, and were deemed to be a derivative asset. The fair value of the derivative asset was not material as of and for the period ended December 31, 2025.</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upon receipt of stockholder approval in December 2023, the Company issued to Sylebra 3,000,000 Series A Warrants to purchase shares of common stock at an exercise price of $5.00.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analyzed the Series A Warrants and determined that they are freestanding and do not exhibit any of the characteristics within ASC 480, and as such do not meet the characteristics of a liability under ASC 480. However, Series A Warrants do not meet all requirements for equity classification under ASC 815, and therefore are classified as a liability on the Company’s consolidated balance sheets.</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3,000,000 Series A Warrants outstanding. The Series A Warrants were issued as consideration for entering into the Facility Agreement as discussed above. Each Series A Warrant is currently exercisable and expires in December 2027. Holders shall not have the right to exercise the Series A Warrants to the extent such person would beneficially own in excess of 16,428,553 shares of the Company’s outstanding common stock as adjusted immediately after giving effect to such exercise.</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Series A Warrants may be adjusted in certain circumstances including in the event of a stock dividend or split, subsequent rights offerings, pro rata purchases, merger, reorganization, recapitalization, or spin-off. However, the Series A Warrants will not be adjusted for issuances of shares of common stock at a price below their respective exercise prices. The Series A Warrants do not entitle the holders to any voting rights, dividends or other rights as a stockholder of the Company prior to being exercised for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Subscription Agreement - LGIT</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May 13, 2025, the Company entered into a strategic collaboration with LGIT. In connection with this partnership, the parties entered into a LG Subscription Agreement , and a JDA, (collectively referred to as the “LGIT Transaction”).</w:t>
      </w:r>
    </w:p>
    <w:p>
      <w:pPr>
        <w:spacing w:after="0" w:line="16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Pursuant to the LG Subscription Agreement, LGIT agreed to make a strategic investment in the Company of $32.5 million (the “LG Private Placement”) in exchange for common shares. LGIT agreed to pay a fixed price per share of $9.26 at closing (i.e., the “Long Forward”) or a price per share equal to the volume weighted average price (“VWAP”) if the VWAP for 10 days preceding the record date is less than $7.41 per share (the “Barrier Put Option”). Notwithstanding the foregoing, LGIT’s share ownership is subject to an ownership limit of 9.9% such that the price per share paid at closing would be adjusted to ensure the share ownership limit is not exceeded. The record date represents the earlier of two months following contract inception or satisfaction of all closing conditions.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Long Forward and Barrier Put Option instrument required recognition as liability on the consolidated balance sheet because the instrument was determined not to be indexed to the Company’s common stock, as the total number of shares to be issued was not fixed. The Company recognized the instrument at fair value at contract inception and at each reporting date until settlement at closing of the LG Private Placement. The Company re-measured the fair value of the LG Private Placement as of the closing and accordingly recorded an associated gain of $1.7 million for the year ended December 31, 2025, upon issuance of its common stock.</w:t>
      </w:r>
    </w:p>
    <w:p>
      <w:pPr>
        <w:spacing w:after="0" w:line="18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LG Private Placement closed on August 20, 2025. Accordingly, the Company issued 3,509,719 shares of common stock to LGIT at a price of $9.26 per share upon receipt of gross proceeds of $32.5 million.</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JDA, the Company agreed to provide non-recurring engineering services to LGIT in exchange for a total consideration of $7.5 million. However, based on the contract analysis, JDA and LG Subscription Agreement were determined to be a combined contract in which all the proceeds were allocated to the LG Subscription Agreement and no proceeds were allocated to the JDA, accordingly no revenue shall be recognized for non-recurring engineering services to be provided under the JDA. See Note 1 to these consolidated financial statements for details on provision for anticipated losses recognized on the JDA.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November 2025, the Company issued $100.0 million aggregate principal amount of 4.375% Convertible Senior Notes due 2032 (the “Convertible Notes”) in a private placement transaction. The proceeds from the issuance of the Convertible Notes, net of debt issuance costs, were $96.7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Convertible Notes are senior unsecured obligations of the Company and will mature on November 15, 2032, unless earlier converted, redeemed, or repurchased. The Convertible Notes are governed by an indenture dated November 6, 2025 (the “Indenture”). Interest on the 2032 Notes accrues at a rate of 4.375% per annum and is payable semiannually on May 15 and November 15. The Company pursuant to satisfaction of interests conditions may elect to pay interest on the 2032 Notes (i) by paying an amount in cash (“Cash Interest”) on such interest payment date equal to all interest accrued from, and including, the immediately preceding date on the principal amount (the “Interest Amount”) or (ii) by the issuance of a number of shares of the Company’s common stock equal to the Interest Amount based on the daily VWAP (as defined in the Indenture) for the eight trading days prior to the date two trading days prior to the relevant interest payment date (“Share Interest”) or (iii) any combination of Cash Interest and Share Interest. The effective interest rate of the Convertible Notes is 4.95%.</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Convertible Notes are convertible at an initial conversion rate of 63.0348 shares of the Company’s common stock per $1,000 principal amount of the Convertible Notes, which is equivalent to an initial conversion price of approximately $15.8643 per share, subject to adjustment upon the occurrence of certain events as described in the Indenture. Holders may convert their 2032 Notes at any time prior to the close of business on the second scheduled trading day immediately preceding the maturity date. Upon conversion, the Company may pay or deliver cash, shares of the Company’s common stock, or a combination of cash and shares of the Company’s common stock, at its election.</w:t>
      </w:r>
    </w:p>
    <w:p>
      <w:pPr>
        <w:spacing w:after="0" w:line="11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may redeem for cash all or any portion of the Convertible Notes, at its option, on or after November 20, 2028, if the last reported sale price of the Company’s common stock has been at least 130% of the conversion price then in effect for at least 20 trading days (whether or not consecutive) during any 30 consecutive trading day period ending on, and including, the trading day immediately preceding the date on which the Company provides notice of redemption. The redemption price will be equal to 100% of the principal amount of the notes to be redeemed, plus accrued and unpaid interest, if any, to, but excluding, the redemption date. The Company may redeem for cash all of the Notes, at a redemption price equal to the principal amount of the Notes to be redeemed, plus accrued and unpaid interest thereon, if at any time less than 10% of the aggregate principal amount of the Notes initially issued on the date of the Indenture remain outstanding. The conversion rate on any Notes that are converted following a notice of redemption will be subject to a “make-whole” adjustment pursuant to the terms of the Indenture. No sinking fund is provided for the Convertible Notes.</w:t>
      </w:r>
    </w:p>
    <w:p>
      <w:pPr>
        <w:spacing w:after="0" w:line="11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Subject to certain administrative conditions set forth in the Indenture, upon the occurrence of a Fundamental Change (as defined in the Indenture), each of the Holders shall have the right at such Holder’s option to require the Company to repurchase in cash all of such Holder’s Notes or any portion of the principal amount thereof which is equal to $1,000 or an integral multiple of $1,000 at a repurchase price equal to 100% of the principal amount thereof, plus accrued and unpaid interest thereon.</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carrying amount of the Convertible Notes was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56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11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Principal</w:t>
            </w:r>
          </w:p>
        </w:tc>
        <w:tc>
          <w:tcPr>
            <w:tcW w:w="318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FF0FC"/>
          </w:tcPr>
          <w:p>
            <w:pPr>
              <w:spacing w:after="0"/>
              <w:rPr>
                <w:sz w:val="17"/>
                <w:szCs w:val="17"/>
                <w:color w:val="auto"/>
              </w:rPr>
            </w:pPr>
          </w:p>
        </w:tc>
      </w:tr>
      <w:tr>
        <w:trPr>
          <w:trHeight w:val="189"/>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26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100" w:type="dxa"/>
            <w:vAlign w:val="bottom"/>
          </w:tcPr>
          <w:p>
            <w:pPr>
              <w:spacing w:after="0"/>
              <w:rPr>
                <w:sz w:val="16"/>
                <w:szCs w:val="16"/>
                <w:color w:val="auto"/>
              </w:rPr>
            </w:pPr>
          </w:p>
        </w:tc>
      </w:tr>
      <w:tr>
        <w:trPr>
          <w:trHeight w:val="236"/>
        </w:trPr>
        <w:tc>
          <w:tcPr>
            <w:tcW w:w="5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carrying amount</w:t>
            </w:r>
          </w:p>
        </w:tc>
        <w:tc>
          <w:tcPr>
            <w:tcW w:w="26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96,693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Capital Structure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Company was authorized to issue up to 422,000,000 shares of common stock, each with a par value of $0.0001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10,000,000 shares of preferred stock, each with a par value of $0.0001 per share. As of December 31, 2025 and December 31, 2024, no shares of preferred stock were issued and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12,074,876 public warrants and 384,000 private warrants outstanding, exercisable for 2,491,776 shares of common stock. Every five public and private warrant entitles the registered holder to purchase one share of common stock at a price of $57.50 per share. These warrants expired on March 12, 2026, and trading of the public warrants was suspended upon expiration. Additionally, the Company also issued 3,000,000 Series A Warrants in connection with the Facility Agreement. Each Series A Warrant entitles the registered holder to purchase one share of common stock at an exercise price of $5.00 per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Loss Per Share</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for the periods presented (in thousands, except per share data):</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Numerator:</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(145,428)</w:t>
            </w:r>
          </w:p>
        </w:tc>
        <w:tc>
          <w:tcPr>
            <w:tcW w:w="3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(152,261)</w:t>
            </w:r>
          </w:p>
        </w:tc>
        <w:tc>
          <w:tcPr>
            <w:tcW w:w="300" w:type="dxa"/>
            <w:vAlign w:val="bottom"/>
            <w:gridSpan w:val="2"/>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(149,333)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8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loss attributable per share to common stockholders</w:t>
            </w: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(145,428)</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(152,261)</w:t>
            </w: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(149,333)</w:t>
            </w:r>
          </w:p>
        </w:tc>
        <w:tc>
          <w:tcPr>
            <w:tcW w:w="0" w:type="dxa"/>
            <w:vAlign w:val="bottom"/>
          </w:tcPr>
          <w:p>
            <w:pPr>
              <w:spacing w:after="0"/>
              <w:rPr>
                <w:sz w:val="1"/>
                <w:szCs w:val="1"/>
                <w:color w:val="auto"/>
              </w:rPr>
            </w:pPr>
          </w:p>
        </w:tc>
      </w:tr>
      <w:tr>
        <w:trPr>
          <w:trHeight w:val="142"/>
        </w:trPr>
        <w:tc>
          <w:tcPr>
            <w:tcW w:w="57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Denominator:</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7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28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57,023,024</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53,359,685</w:t>
            </w: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45,412,155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780" w:type="dxa"/>
            <w:vAlign w:val="bottom"/>
            <w:tcBorders>
              <w:bottom w:val="single" w:sz="8" w:color="CFF0FC"/>
            </w:tcBorders>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 Basic</w:t>
            </w:r>
          </w:p>
        </w:tc>
        <w:tc>
          <w:tcPr>
            <w:tcW w:w="2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Dilutive effect of potential common stock</w:t>
            </w:r>
          </w:p>
        </w:tc>
        <w:tc>
          <w:tcPr>
            <w:tcW w:w="280" w:type="dxa"/>
            <w:vAlign w:val="bottom"/>
          </w:tcPr>
          <w:p>
            <w:pPr>
              <w:spacing w:after="0"/>
              <w:rPr>
                <w:sz w:val="12"/>
                <w:szCs w:val="12"/>
                <w:color w:val="auto"/>
              </w:rPr>
            </w:pPr>
          </w:p>
        </w:tc>
        <w:tc>
          <w:tcPr>
            <w:tcW w:w="11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7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28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57,023,024</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53,359,685</w:t>
            </w: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45,412,155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780" w:type="dxa"/>
            <w:vAlign w:val="bottom"/>
            <w:tcBorders>
              <w:bottom w:val="single" w:sz="8" w:color="CFF0FC"/>
            </w:tcBorders>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 Diluted</w:t>
            </w:r>
          </w:p>
        </w:tc>
        <w:tc>
          <w:tcPr>
            <w:tcW w:w="2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78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Net loss per share attributable to common stockholders</w:t>
            </w:r>
          </w:p>
        </w:tc>
        <w:tc>
          <w:tcPr>
            <w:tcW w:w="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5780" w:type="dxa"/>
            <w:vAlign w:val="bottom"/>
          </w:tcPr>
          <w:p>
            <w:pPr>
              <w:ind w:left="200"/>
              <w:spacing w:after="0" w:line="125" w:lineRule="exact"/>
              <w:rPr>
                <w:sz w:val="20"/>
                <w:szCs w:val="20"/>
                <w:color w:val="auto"/>
              </w:rPr>
            </w:pPr>
            <w:r>
              <w:rPr>
                <w:rFonts w:ascii="Times New Roman" w:cs="Times New Roman" w:eastAsia="Times New Roman" w:hAnsi="Times New Roman"/>
                <w:sz w:val="14"/>
                <w:szCs w:val="14"/>
                <w:color w:val="auto"/>
              </w:rPr>
              <w:t>– Basic and Diluted</w:t>
            </w:r>
          </w:p>
        </w:tc>
        <w:tc>
          <w:tcPr>
            <w:tcW w:w="280" w:type="dxa"/>
            <w:vAlign w:val="bottom"/>
            <w:tcBorders>
              <w:bottom w:val="single" w:sz="8" w:color="auto"/>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-762635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-762635</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-762635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-479425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-479425</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-479425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-196850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-196850</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-196850</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158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56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54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4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Common stock options issued and outstanding</w:t>
            </w:r>
          </w:p>
        </w:tc>
        <w:tc>
          <w:tcPr>
            <w:tcW w:w="1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2,316,417</w:t>
            </w:r>
          </w:p>
        </w:tc>
        <w:tc>
          <w:tcPr>
            <w:tcW w:w="17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2,370,672</w:t>
            </w:r>
          </w:p>
        </w:tc>
        <w:tc>
          <w:tcPr>
            <w:tcW w:w="17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2,414,730</w:t>
            </w:r>
          </w:p>
        </w:tc>
        <w:tc>
          <w:tcPr>
            <w:tcW w:w="100" w:type="dxa"/>
            <w:vAlign w:val="bottom"/>
            <w:shd w:val="clear" w:color="auto" w:fill="CFF0FC"/>
          </w:tcPr>
          <w:p>
            <w:pPr>
              <w:spacing w:after="0"/>
              <w:rPr>
                <w:sz w:val="12"/>
                <w:szCs w:val="12"/>
                <w:color w:val="auto"/>
              </w:rPr>
            </w:pPr>
          </w:p>
        </w:tc>
      </w:tr>
      <w:tr>
        <w:trPr>
          <w:trHeight w:val="148"/>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w:t>
            </w: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7,137,273</w:t>
            </w:r>
          </w:p>
        </w:tc>
        <w:tc>
          <w:tcPr>
            <w:tcW w:w="1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6,549,869</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5,199,811</w:t>
            </w:r>
          </w:p>
        </w:tc>
        <w:tc>
          <w:tcPr>
            <w:tcW w:w="100" w:type="dxa"/>
            <w:vAlign w:val="bottom"/>
          </w:tcPr>
          <w:p>
            <w:pPr>
              <w:spacing w:after="0"/>
              <w:rPr>
                <w:sz w:val="12"/>
                <w:szCs w:val="12"/>
                <w:color w:val="auto"/>
              </w:rPr>
            </w:pPr>
          </w:p>
        </w:tc>
      </w:tr>
      <w:tr>
        <w:trPr>
          <w:trHeight w:val="148"/>
        </w:trPr>
        <w:tc>
          <w:tcPr>
            <w:tcW w:w="4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Performance-based restricted stock units</w:t>
            </w: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735,294</w:t>
            </w:r>
          </w:p>
        </w:tc>
        <w:tc>
          <w:tcPr>
            <w:tcW w:w="1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1,911,765</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1,911,765</w:t>
            </w:r>
          </w:p>
        </w:tc>
        <w:tc>
          <w:tcPr>
            <w:tcW w:w="100" w:type="dxa"/>
            <w:vAlign w:val="bottom"/>
            <w:shd w:val="clear" w:color="auto" w:fill="CFF0FC"/>
          </w:tcPr>
          <w:p>
            <w:pPr>
              <w:spacing w:after="0"/>
              <w:rPr>
                <w:sz w:val="12"/>
                <w:szCs w:val="12"/>
                <w:color w:val="auto"/>
              </w:rPr>
            </w:pPr>
          </w:p>
        </w:tc>
      </w:tr>
      <w:tr>
        <w:trPr>
          <w:trHeight w:val="149"/>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warrants</w:t>
            </w: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2,491,776</w:t>
            </w:r>
          </w:p>
        </w:tc>
        <w:tc>
          <w:tcPr>
            <w:tcW w:w="1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2,491,776</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2,491,776</w:t>
            </w:r>
          </w:p>
        </w:tc>
        <w:tc>
          <w:tcPr>
            <w:tcW w:w="100" w:type="dxa"/>
            <w:vAlign w:val="bottom"/>
          </w:tcPr>
          <w:p>
            <w:pPr>
              <w:spacing w:after="0"/>
              <w:rPr>
                <w:sz w:val="12"/>
                <w:szCs w:val="12"/>
                <w:color w:val="auto"/>
              </w:rPr>
            </w:pPr>
          </w:p>
        </w:tc>
      </w:tr>
      <w:tr>
        <w:trPr>
          <w:trHeight w:val="148"/>
        </w:trPr>
        <w:tc>
          <w:tcPr>
            <w:tcW w:w="4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A warrants</w:t>
            </w: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1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100" w:type="dxa"/>
            <w:vAlign w:val="bottom"/>
            <w:shd w:val="clear" w:color="auto" w:fill="CFF0FC"/>
          </w:tcPr>
          <w:p>
            <w:pPr>
              <w:spacing w:after="0"/>
              <w:rPr>
                <w:sz w:val="12"/>
                <w:szCs w:val="12"/>
                <w:color w:val="auto"/>
              </w:rPr>
            </w:pPr>
          </w:p>
        </w:tc>
      </w:tr>
      <w:tr>
        <w:trPr>
          <w:trHeight w:val="149"/>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1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6,303,480</w:t>
            </w:r>
          </w:p>
        </w:tc>
        <w:tc>
          <w:tcPr>
            <w:tcW w:w="220" w:type="dxa"/>
            <w:vAlign w:val="bottom"/>
          </w:tcPr>
          <w:p>
            <w:pPr>
              <w:spacing w:after="0"/>
              <w:rPr>
                <w:sz w:val="12"/>
                <w:szCs w:val="12"/>
                <w:color w:val="auto"/>
              </w:rPr>
            </w:pPr>
          </w:p>
        </w:tc>
        <w:tc>
          <w:tcPr>
            <w:tcW w:w="1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82"/>
        </w:trPr>
        <w:tc>
          <w:tcPr>
            <w:tcW w:w="4900" w:type="dxa"/>
            <w:vAlign w:val="bottom"/>
            <w:tcBorders>
              <w:bottom w:val="single" w:sz="8" w:color="CFF0FC"/>
            </w:tcBorders>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5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21,984,240</w:t>
            </w:r>
          </w:p>
        </w:tc>
        <w:tc>
          <w:tcPr>
            <w:tcW w:w="22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16,324,082</w:t>
            </w:r>
          </w:p>
        </w:tc>
        <w:tc>
          <w:tcPr>
            <w:tcW w:w="20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15,018,082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-25400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03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0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the 2016 Stock Incentive Plan and the 2021 Incentive Award Plan (the “Stock Plans”) under which incentive stock options, non-qualified stock options and RSUs may be granted to employees. Under the Stock Plans, the Company has 405,221 shares available for issuance as of December 31, 2025.</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Stock Plans, incentive stock options must have an exercise price at or above the fair market value of the stock on the date of the grant, while non-qualified stock options are permitted to be granted below fair market value of the stock on the date of grant. The majority of stock options granted have service-based vesting conditions only. The service-based vesting conditions vary though typically, stock options vest over four years with 25% of stock options vesting on the first anniversary of the grant and the remaining 75% vesting monthly over the remaining 36 months. Option holders have a ten-year period to exercise the options before they expire.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5" w:name="page86"/>
    <w:bookmarkEnd w:id="85"/>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summarized the stock option activity and related information under all stock option plans: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8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26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5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as of December 31, 2022</w:t>
            </w:r>
          </w:p>
        </w:tc>
        <w:tc>
          <w:tcPr>
            <w:tcW w:w="1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2,686,835</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3.34</w:t>
            </w:r>
          </w:p>
        </w:tc>
        <w:tc>
          <w:tcPr>
            <w:tcW w:w="17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6.77</w:t>
            </w:r>
          </w:p>
        </w:tc>
        <w:tc>
          <w:tcPr>
            <w:tcW w:w="440" w:type="dxa"/>
            <w:vAlign w:val="bottom"/>
            <w:gridSpan w:val="2"/>
            <w:shd w:val="clear" w:color="auto" w:fill="CFF0FC"/>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1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(131,444)</w:t>
            </w:r>
          </w:p>
        </w:tc>
        <w:tc>
          <w:tcPr>
            <w:tcW w:w="2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2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18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(140,661)</w:t>
            </w:r>
          </w:p>
        </w:tc>
        <w:tc>
          <w:tcPr>
            <w:tcW w:w="2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w:t>
            </w: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Outstanding as of December 31, 2023</w:t>
            </w:r>
          </w:p>
        </w:tc>
        <w:tc>
          <w:tcPr>
            <w:tcW w:w="1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2,414,730</w:t>
            </w:r>
          </w:p>
        </w:tc>
        <w:tc>
          <w:tcPr>
            <w:tcW w:w="28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2.79</w:t>
            </w:r>
          </w:p>
        </w:tc>
        <w:tc>
          <w:tcPr>
            <w:tcW w:w="220" w:type="dxa"/>
            <w:vAlign w:val="bottom"/>
          </w:tcPr>
          <w:p>
            <w:pPr>
              <w:spacing w:after="0"/>
              <w:rPr>
                <w:sz w:val="12"/>
                <w:szCs w:val="12"/>
                <w:color w:val="auto"/>
              </w:rPr>
            </w:pP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5.73</w:t>
            </w:r>
          </w:p>
        </w:tc>
        <w:tc>
          <w:tcPr>
            <w:tcW w:w="440" w:type="dxa"/>
            <w:vAlign w:val="bottom"/>
            <w:gridSpan w:val="2"/>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Exercised</w:t>
            </w:r>
          </w:p>
        </w:tc>
        <w:tc>
          <w:tcPr>
            <w:tcW w:w="186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(43,660)</w:t>
            </w:r>
          </w:p>
        </w:tc>
        <w:tc>
          <w:tcPr>
            <w:tcW w:w="2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1.81</w:t>
            </w: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1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2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2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2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as of December 31, 2024</w:t>
            </w:r>
          </w:p>
        </w:tc>
        <w:tc>
          <w:tcPr>
            <w:tcW w:w="1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2,370,672</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6,055</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Exercised</w:t>
            </w:r>
          </w:p>
        </w:tc>
        <w:tc>
          <w:tcPr>
            <w:tcW w:w="186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(54,255)</w:t>
            </w:r>
          </w:p>
        </w:tc>
        <w:tc>
          <w:tcPr>
            <w:tcW w:w="26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2.36</w:t>
            </w:r>
          </w:p>
        </w:tc>
        <w:tc>
          <w:tcPr>
            <w:tcW w:w="220" w:type="dxa"/>
            <w:vAlign w:val="bottom"/>
          </w:tcPr>
          <w:p>
            <w:pPr>
              <w:spacing w:after="0"/>
              <w:rPr>
                <w:sz w:val="12"/>
                <w:szCs w:val="12"/>
                <w:color w:val="auto"/>
              </w:rPr>
            </w:pP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4220" w:type="dxa"/>
            <w:vAlign w:val="bottom"/>
            <w:tcBorders>
              <w:top w:val="single" w:sz="8" w:color="CFF0FC"/>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4"/>
                <w:szCs w:val="14"/>
                <w:color w:val="auto"/>
              </w:rPr>
              <w:t>Outstanding as of December 31, 2025</w:t>
            </w:r>
          </w:p>
        </w:tc>
        <w:tc>
          <w:tcPr>
            <w:tcW w:w="15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2,316,417</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CFF0FC"/>
            </w:tcBorders>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2.81</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3.76</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24,431</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126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000000"/>
          </w:tcPr>
          <w:p>
            <w:pPr>
              <w:spacing w:after="0" w:line="20" w:lineRule="exact"/>
              <w:rPr>
                <w:sz w:val="1"/>
                <w:szCs w:val="1"/>
                <w:color w:val="auto"/>
              </w:rPr>
            </w:pPr>
          </w:p>
        </w:tc>
        <w:tc>
          <w:tcPr>
            <w:tcW w:w="13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2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Vested and exercisable as of December 31, 2025</w:t>
            </w:r>
          </w:p>
        </w:tc>
        <w:tc>
          <w:tcPr>
            <w:tcW w:w="1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2,313,355</w:t>
            </w:r>
          </w:p>
        </w:tc>
        <w:tc>
          <w:tcPr>
            <w:tcW w:w="280" w:type="dxa"/>
            <w:vAlign w:val="bottom"/>
          </w:tcPr>
          <w:p>
            <w:pPr>
              <w:spacing w:after="0"/>
              <w:rPr>
                <w:sz w:val="11"/>
                <w:szCs w:val="11"/>
                <w:color w:val="auto"/>
              </w:rPr>
            </w:pPr>
          </w:p>
        </w:tc>
        <w:tc>
          <w:tcPr>
            <w:tcW w:w="26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2.80</w:t>
            </w:r>
          </w:p>
        </w:tc>
        <w:tc>
          <w:tcPr>
            <w:tcW w:w="220" w:type="dxa"/>
            <w:vAlign w:val="bottom"/>
          </w:tcPr>
          <w:p>
            <w:pPr>
              <w:spacing w:after="0"/>
              <w:rPr>
                <w:sz w:val="11"/>
                <w:szCs w:val="11"/>
                <w:color w:val="auto"/>
              </w:rPr>
            </w:pPr>
          </w:p>
        </w:tc>
        <w:tc>
          <w:tcPr>
            <w:tcW w:w="1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3.75</w:t>
            </w:r>
          </w:p>
        </w:tc>
        <w:tc>
          <w:tcPr>
            <w:tcW w:w="440" w:type="dxa"/>
            <w:vAlign w:val="bottom"/>
            <w:gridSpan w:val="2"/>
          </w:tcPr>
          <w:p>
            <w:pPr>
              <w:jc w:val="right"/>
              <w:ind w:right="6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24,431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2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Vested and expected to vest as of December 31,</w:t>
            </w:r>
          </w:p>
        </w:tc>
        <w:tc>
          <w:tcPr>
            <w:tcW w:w="1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2,316,417</w:t>
            </w:r>
          </w:p>
        </w:tc>
        <w:tc>
          <w:tcPr>
            <w:tcW w:w="280" w:type="dxa"/>
            <w:vAlign w:val="bottom"/>
            <w:shd w:val="clear" w:color="auto" w:fill="CFF0FC"/>
          </w:tcPr>
          <w:p>
            <w:pPr>
              <w:spacing w:after="0"/>
              <w:rPr>
                <w:sz w:val="10"/>
                <w:szCs w:val="10"/>
                <w:color w:val="auto"/>
              </w:rPr>
            </w:pPr>
          </w:p>
        </w:tc>
        <w:tc>
          <w:tcPr>
            <w:tcW w:w="260" w:type="dxa"/>
            <w:vAlign w:val="bottom"/>
            <w:tcBorders>
              <w:top w:val="single" w:sz="8" w:color="auto"/>
            </w:tcBorders>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220" w:type="dxa"/>
            <w:vAlign w:val="bottom"/>
            <w:shd w:val="clear" w:color="auto" w:fill="CFF0FC"/>
          </w:tcPr>
          <w:p>
            <w:pPr>
              <w:spacing w:after="0"/>
              <w:rPr>
                <w:sz w:val="10"/>
                <w:szCs w:val="10"/>
                <w:color w:val="auto"/>
              </w:rPr>
            </w:pPr>
          </w:p>
        </w:tc>
        <w:tc>
          <w:tcPr>
            <w:tcW w:w="15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60" w:type="dxa"/>
            <w:vAlign w:val="bottom"/>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20" w:type="dxa"/>
            <w:vAlign w:val="bottom"/>
            <w:tcBorders>
              <w:bottom w:val="single" w:sz="8" w:color="CFF0FC"/>
            </w:tcBorders>
            <w:shd w:val="clear" w:color="auto" w:fill="CFF0FC"/>
          </w:tcPr>
          <w:p>
            <w:pPr>
              <w:ind w:left="120"/>
              <w:spacing w:after="0" w:line="125" w:lineRule="exact"/>
              <w:rPr>
                <w:sz w:val="20"/>
                <w:szCs w:val="20"/>
                <w:color w:val="auto"/>
              </w:rPr>
            </w:pPr>
            <w:r>
              <w:rPr>
                <w:rFonts w:ascii="Times New Roman" w:cs="Times New Roman" w:eastAsia="Times New Roman" w:hAnsi="Times New Roman"/>
                <w:sz w:val="14"/>
                <w:szCs w:val="14"/>
                <w:color w:val="auto"/>
              </w:rPr>
              <w:t>2025</w:t>
            </w:r>
          </w:p>
        </w:tc>
        <w:tc>
          <w:tcPr>
            <w:tcW w:w="158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vMerge w:val="continue"/>
            <w:shd w:val="clear" w:color="auto" w:fill="CFF0FC"/>
          </w:tcPr>
          <w:p>
            <w:pPr>
              <w:spacing w:after="0"/>
              <w:rPr>
                <w:sz w:val="14"/>
                <w:szCs w:val="14"/>
                <w:color w:val="auto"/>
              </w:rPr>
            </w:pPr>
          </w:p>
        </w:tc>
        <w:tc>
          <w:tcPr>
            <w:tcW w:w="12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56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-925195</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-925195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-925195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-638175</wp:posOffset>
            </wp:positionV>
            <wp:extent cx="102235"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235" cy="137160"/>
                    </a:xfrm>
                    <a:prstGeom prst="rect">
                      <a:avLst/>
                    </a:prstGeom>
                    <a:noFill/>
                  </pic:spPr>
                </pic:pic>
              </a:graphicData>
            </a:graphic>
          </wp:anchor>
        </w:drawing>
        <w:drawing>
          <wp:anchor simplePos="0" relativeHeight="251657728" behindDoc="1" locked="0" layoutInCell="0" allowOverlap="1">
            <wp:simplePos x="0" y="0"/>
            <wp:positionH relativeFrom="column">
              <wp:posOffset>4818380</wp:posOffset>
            </wp:positionH>
            <wp:positionV relativeFrom="paragraph">
              <wp:posOffset>-638175</wp:posOffset>
            </wp:positionV>
            <wp:extent cx="9398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-638175</wp:posOffset>
            </wp:positionV>
            <wp:extent cx="9398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-638175</wp:posOffset>
            </wp:positionV>
            <wp:extent cx="9398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-316230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-299720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-419735</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4818380</wp:posOffset>
            </wp:positionH>
            <wp:positionV relativeFrom="paragraph">
              <wp:posOffset>-432435</wp:posOffset>
            </wp:positionV>
            <wp:extent cx="9398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-316230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-299720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-419735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intrinsic value of options exercised during years ended December 31, 2025, 2024 and 2023 was $24.4 million, $0.1 million, and $0.5 million, respectively.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Company had no unrecognized stock-based compensation expense related to the stock options.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 and Performance-based Restricted Stock Units (“PBRSUs”)</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Beginning November 2020, the Company granted RSUs and PBRSUs to certain employees and consultants pursuant to the 2016 Plan and 2021 Plan. RSUs typically vest 25 percent upon the one-year anniversary date from the initial vesting date, with 12.5% vesting on each six-month anniversary date over the following three years. The RSUs are subject to time-based vesting conditions. PBRSUs are subject to a time-based vesting condition and a performance condition or market condition.</w:t>
      </w:r>
    </w:p>
    <w:p>
      <w:pPr>
        <w:spacing w:after="0" w:line="1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May 2023, the Company granted a total of 1,176,471 PBRSUs pursuant to the 2021 Incentive Award Plan to certain executives that vest on achieving certain operational milestones as defined in the individual grant agreements subject to continued employment through 2025. Stock-based compensation expense is recognized over the expected performance/service achievement period of individual performance milestones when the achievement of each individual performance milestone becomes probable. If satisfaction of the performance condition is not probable, stock-based compensation cost recognition is deferred until it becomes probable. The Company reassesses the probability as to whether satisfaction of the performance condition is prob</w:t>
      </w:r>
      <w:r>
        <w:rPr>
          <w:rFonts w:ascii="Times New Roman" w:cs="Times New Roman" w:eastAsia="Times New Roman" w:hAnsi="Times New Roman"/>
          <w:sz w:val="18"/>
          <w:szCs w:val="18"/>
          <w:color w:val="231F20"/>
        </w:rPr>
        <w:t>able on a quarterly basis, and stock-based compensation cost is adjusted based on the portion of the requisite service provided.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PBRSUs neither carry rights to dividends nor voting rights until the shares are issued or transferred to the recipient. Awards are forfeited if an employee leaves the Company before the PBRSUs vest or the performance period lapses. </w:t>
      </w:r>
      <w:r>
        <w:rPr>
          <w:rFonts w:ascii="Times New Roman" w:cs="Times New Roman" w:eastAsia="Times New Roman" w:hAnsi="Times New Roman"/>
          <w:sz w:val="18"/>
          <w:szCs w:val="18"/>
          <w:color w:val="000000"/>
        </w:rPr>
        <w:t>The weighted-average grant date PBRSU fair value of $5.10 per share 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determined based upon the market closing price of the Company’s common stock on the date of grant. These performance-based RSUs were fully vested and released on December 31, 2025 pursuant to the satisfaction of service condition.</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May 2023, the Company also granted a total of 735,294 </w:t>
      </w:r>
      <w:r>
        <w:rPr>
          <w:rFonts w:ascii="Times New Roman" w:cs="Times New Roman" w:eastAsia="Times New Roman" w:hAnsi="Times New Roman"/>
          <w:sz w:val="18"/>
          <w:szCs w:val="18"/>
          <w:color w:val="231F20"/>
        </w:rPr>
        <w:t>market-based PBRSUs</w:t>
      </w:r>
      <w:r>
        <w:rPr>
          <w:rFonts w:ascii="Times New Roman" w:cs="Times New Roman" w:eastAsia="Times New Roman" w:hAnsi="Times New Roman"/>
          <w:sz w:val="18"/>
          <w:szCs w:val="18"/>
          <w:color w:val="auto"/>
        </w:rPr>
        <w:t xml:space="preserve"> pursuant to the 2021 Incentive Award Plan </w:t>
      </w:r>
      <w:r>
        <w:rPr>
          <w:rFonts w:ascii="Times New Roman" w:cs="Times New Roman" w:eastAsia="Times New Roman" w:hAnsi="Times New Roman"/>
          <w:sz w:val="18"/>
          <w:szCs w:val="18"/>
          <w:color w:val="231F20"/>
        </w:rPr>
        <w:t>to certain executives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that vest over a multi-year period, upon continue service and when the volume-weighted average price per share (“VWAP Average”) of the Company’s common stock for the preceding 30 consecutive trading days equals or exceeds the target stock price for the indicated year. The Company recognizes stock-based compensation based upon the grant date fair value on an accelerated attribution basis over the requisite service period of the award. Provided that the requisite service is rendered, the total fair value of the market-based PBRSUs at the date of grant is recognized as compensation expense even if the market condition is not achieved. However, the number of shares that ultimately vest can vary significantly with the achievement of the specified market criteria. These PBRSUs neither carry rights to dividends nor voting rights until the shares are issued or transferred to the recipient. Awards are forfeited if an employee leaves the Company before the PBRSUs vest.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weighted-average grant date fair value of the market-based PBRSUs was $1.40 per share. The Company estimated the fair value of the market-based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PBRSUs award on the grant date using the Monte Carlo simulation model with the following assumptions: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460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0.5 - 4.7</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46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0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46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46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price</w:t>
            </w:r>
          </w:p>
        </w:tc>
        <w:tc>
          <w:tcPr>
            <w:tcW w:w="46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5.10</w:t>
            </w:r>
          </w:p>
        </w:tc>
      </w:tr>
    </w:tbl>
    <w:p>
      <w:pPr>
        <w:spacing w:after="0" w:line="19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w:t>
      </w:r>
      <w:r>
        <w:rPr>
          <w:rFonts w:ascii="Times New Roman" w:cs="Times New Roman" w:eastAsia="Times New Roman" w:hAnsi="Times New Roman"/>
          <w:sz w:val="18"/>
          <w:szCs w:val="18"/>
          <w:color w:val="231F20"/>
        </w:rPr>
        <w:t>he total unrecognized compensation expense related to the market-based PBRSUs was $0.3 million, which is expected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be amortized over a weighted-average period of 2.0 years.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year ended December 31,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03"/>
        </w:trPr>
        <w:tc>
          <w:tcPr>
            <w:tcW w:w="6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15"/>
        </w:trPr>
        <w:tc>
          <w:tcPr>
            <w:tcW w:w="6980" w:type="dxa"/>
            <w:vAlign w:val="bottom"/>
          </w:tcPr>
          <w:p>
            <w:pPr>
              <w:spacing w:after="0"/>
              <w:rPr>
                <w:sz w:val="18"/>
                <w:szCs w:val="18"/>
                <w:color w:val="auto"/>
              </w:rPr>
            </w:pPr>
          </w:p>
        </w:tc>
        <w:tc>
          <w:tcPr>
            <w:tcW w:w="12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100" w:type="dxa"/>
            <w:vAlign w:val="bottom"/>
          </w:tcPr>
          <w:p>
            <w:pPr>
              <w:spacing w:after="0"/>
              <w:rPr>
                <w:sz w:val="18"/>
                <w:szCs w:val="18"/>
                <w:color w:val="auto"/>
              </w:rPr>
            </w:pPr>
          </w:p>
        </w:tc>
      </w:tr>
      <w:tr>
        <w:trPr>
          <w:trHeight w:val="199"/>
        </w:trPr>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2,388,909</w:t>
            </w: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5,143,160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7"/>
                <w:szCs w:val="17"/>
                <w:color w:val="auto"/>
              </w:rPr>
            </w:pPr>
          </w:p>
        </w:tc>
      </w:tr>
      <w:tr>
        <w:trPr>
          <w:trHeight w:val="203"/>
        </w:trPr>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Released</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(1,205,704)</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2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(1,126,554)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5,199,811</w:t>
            </w: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shd w:val="clear" w:color="auto" w:fill="CFF0FC"/>
          </w:tcPr>
          <w:p>
            <w:pPr>
              <w:spacing w:after="0"/>
              <w:rPr>
                <w:sz w:val="17"/>
                <w:szCs w:val="17"/>
                <w:color w:val="auto"/>
              </w:rPr>
            </w:pPr>
          </w:p>
        </w:tc>
      </w:tr>
      <w:tr>
        <w:trPr>
          <w:trHeight w:val="196"/>
        </w:trPr>
        <w:tc>
          <w:tcPr>
            <w:tcW w:w="6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Granted</w:t>
            </w:r>
          </w:p>
        </w:tc>
        <w:tc>
          <w:tcPr>
            <w:tcW w:w="1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4,502,661</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top w:val="single" w:sz="8" w:color="CFF0FC"/>
            </w:tcBorders>
          </w:tcPr>
          <w:p>
            <w:pPr>
              <w:spacing w:after="0"/>
              <w:rPr>
                <w:sz w:val="17"/>
                <w:szCs w:val="17"/>
                <w:color w:val="auto"/>
              </w:rPr>
            </w:pPr>
          </w:p>
        </w:tc>
      </w:tr>
      <w:tr>
        <w:trPr>
          <w:trHeight w:val="203"/>
        </w:trPr>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Released</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(1,921,646)</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2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(1,230,957)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6,549,869</w:t>
            </w: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FF0FC"/>
          </w:tcPr>
          <w:p>
            <w:pPr>
              <w:spacing w:after="0"/>
              <w:rPr>
                <w:sz w:val="17"/>
                <w:szCs w:val="17"/>
                <w:color w:val="auto"/>
              </w:rPr>
            </w:pPr>
          </w:p>
        </w:tc>
      </w:tr>
      <w:tr>
        <w:trPr>
          <w:trHeight w:val="196"/>
        </w:trPr>
        <w:tc>
          <w:tcPr>
            <w:tcW w:w="6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Granted</w:t>
            </w:r>
          </w:p>
        </w:tc>
        <w:tc>
          <w:tcPr>
            <w:tcW w:w="1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4,709,367</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Borders>
              <w:top w:val="single" w:sz="8" w:color="CFF0FC"/>
            </w:tcBorders>
          </w:tcPr>
          <w:p>
            <w:pPr>
              <w:spacing w:after="0"/>
              <w:rPr>
                <w:sz w:val="17"/>
                <w:szCs w:val="17"/>
                <w:color w:val="auto"/>
              </w:rPr>
            </w:pPr>
          </w:p>
        </w:tc>
      </w:tr>
      <w:tr>
        <w:trPr>
          <w:trHeight w:val="203"/>
        </w:trPr>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Released</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(2,799,331)</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2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(1,322,632)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as of December 31, 2025</w:t>
            </w:r>
          </w:p>
        </w:tc>
        <w:tc>
          <w:tcPr>
            <w:tcW w:w="1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7,137,273</w:t>
            </w: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shd w:val="clear" w:color="auto" w:fill="CFF0FC"/>
          </w:tcPr>
          <w:p>
            <w:pPr>
              <w:spacing w:after="0"/>
              <w:rPr>
                <w:sz w:val="17"/>
                <w:szCs w:val="17"/>
                <w:color w:val="auto"/>
              </w:rPr>
            </w:pPr>
          </w:p>
        </w:tc>
      </w:tr>
      <w:tr>
        <w:trPr>
          <w:trHeight w:val="20"/>
        </w:trPr>
        <w:tc>
          <w:tcPr>
            <w:tcW w:w="69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-1071245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-539115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awards vested for the years ended December 31, 2025, 2024 and 2023, was $45.8 million, $6.5 million, and $6.2 million, respectively.</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$38.8 million of unrecognized stock-based compensation expense related to the RSUs. This cost is expected to be recognized over a weighted average period of 2.5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Board and the Company’s stockholders adopted the 2022 Employee Stock Purchase Plan (“ESPP”) under which 1,831,812 shares were authorized for issuance. The ESPP permits eligible employees to purchase the Company’s common stock through payroll deduction with up to 15% of their pre-tax earnings subject to certain Internal Revenue Code limitations. The purchase price of shares is 85% of the lower of the fair market value of the Company’s common stock on the first day of a six-month offering period, or the relevant purchase date. In addition, participants are subject to $25,000 annual purchase restriction. No ESPP shares were purchased during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stock-based compensation expense by function was as follows (in thousands):</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30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6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shd w:val="clear" w:color="auto" w:fill="CFF0FC"/>
          </w:tcPr>
          <w:p>
            <w:pPr>
              <w:spacing w:after="0"/>
              <w:rPr>
                <w:sz w:val="17"/>
                <w:szCs w:val="17"/>
                <w:color w:val="auto"/>
              </w:rPr>
            </w:pPr>
          </w:p>
        </w:tc>
      </w:tr>
      <w:tr>
        <w:trPr>
          <w:trHeight w:val="203"/>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16,760</w:t>
            </w:r>
          </w:p>
        </w:tc>
        <w:tc>
          <w:tcPr>
            <w:tcW w:w="100" w:type="dxa"/>
            <w:vAlign w:val="bottom"/>
          </w:tcPr>
          <w:p>
            <w:pPr>
              <w:spacing w:after="0"/>
              <w:rPr>
                <w:sz w:val="17"/>
                <w:szCs w:val="17"/>
                <w:color w:val="auto"/>
              </w:rPr>
            </w:pPr>
          </w:p>
        </w:tc>
      </w:tr>
      <w:tr>
        <w:trPr>
          <w:trHeight w:val="20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100" w:type="dxa"/>
            <w:vAlign w:val="bottom"/>
            <w:shd w:val="clear" w:color="auto" w:fill="CFF0FC"/>
          </w:tcPr>
          <w:p>
            <w:pPr>
              <w:spacing w:after="0"/>
              <w:rPr>
                <w:sz w:val="17"/>
                <w:szCs w:val="17"/>
                <w:color w:val="auto"/>
              </w:rPr>
            </w:pPr>
          </w:p>
        </w:tc>
      </w:tr>
      <w:tr>
        <w:trPr>
          <w:trHeight w:val="203"/>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3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7"/>
                <w:szCs w:val="17"/>
                <w:color w:val="auto"/>
              </w:rPr>
            </w:pPr>
          </w:p>
        </w:tc>
      </w:tr>
      <w:tr>
        <w:trPr>
          <w:trHeight w:val="236"/>
        </w:trPr>
        <w:tc>
          <w:tcPr>
            <w:tcW w:w="3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21,843</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23,708</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596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596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Income Before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financial reporting purposes, income before income taxes includes the following components (in thousands):</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r>
      <w:tr>
        <w:trPr>
          <w:trHeight w:val="19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Domestic</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(146,000)</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(152,496)</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(149,540)</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7"/>
                <w:szCs w:val="17"/>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(145,120)</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(152,090)</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(149,333)</w:t>
            </w: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-25400</wp:posOffset>
            </wp:positionV>
            <wp:extent cx="596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96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Tax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income tax expense are as follows (in thousands):</w:t>
      </w:r>
    </w:p>
    <w:p>
      <w:pPr>
        <w:spacing w:after="0" w:line="255"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w:t>
            </w:r>
          </w:p>
        </w:tc>
        <w:tc>
          <w:tcPr>
            <w:tcW w:w="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Federal</w:t>
            </w:r>
          </w:p>
        </w:tc>
        <w:tc>
          <w:tcPr>
            <w:tcW w:w="1360" w:type="dxa"/>
            <w:vAlign w:val="bottom"/>
            <w:gridSpan w:val="2"/>
          </w:tcPr>
          <w:p>
            <w:pPr>
              <w:jc w:val="right"/>
              <w:ind w:right="11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State</w:t>
            </w:r>
          </w:p>
        </w:tc>
        <w:tc>
          <w:tcPr>
            <w:tcW w:w="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3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w:t>
            </w:r>
          </w:p>
        </w:tc>
        <w:tc>
          <w:tcPr>
            <w:tcW w:w="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w:t>
            </w:r>
          </w:p>
        </w:tc>
        <w:tc>
          <w:tcPr>
            <w:tcW w:w="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State</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w:t>
            </w:r>
          </w:p>
        </w:tc>
        <w:tc>
          <w:tcPr>
            <w:tcW w:w="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w:t>
            </w:r>
          </w:p>
        </w:tc>
        <w:tc>
          <w:tcPr>
            <w:tcW w:w="1360" w:type="dxa"/>
            <w:vAlign w:val="bottom"/>
            <w:gridSpan w:val="2"/>
          </w:tcPr>
          <w:p>
            <w:pPr>
              <w:jc w:val="right"/>
              <w:ind w:right="11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-162560</wp:posOffset>
            </wp:positionV>
            <wp:extent cx="603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-162560</wp:posOffset>
            </wp:positionV>
            <wp:extent cx="603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88" w:name="page89"/>
    <w:bookmarkEnd w:id="88"/>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tax rate of 21%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328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 at the U.S. federal statutory tax rate</w:t>
            </w: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(30,485)</w:t>
            </w:r>
          </w:p>
        </w:tc>
        <w:tc>
          <w:tcPr>
            <w:tcW w:w="13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Foreign tax effects</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foreign tax effects</w:t>
            </w: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w:t>
            </w:r>
          </w:p>
        </w:tc>
        <w:tc>
          <w:tcPr>
            <w:tcW w:w="13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Effect of cross-border tax laws</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credits</w:t>
            </w:r>
          </w:p>
        </w:tc>
        <w:tc>
          <w:tcPr>
            <w:tcW w:w="1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7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Research &amp; Developments Credit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(4,483)</w:t>
            </w:r>
          </w:p>
        </w:tc>
        <w:tc>
          <w:tcPr>
            <w:tcW w:w="13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32,390</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Stock Based Comp</w:t>
            </w: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(3,410)</w:t>
            </w:r>
          </w:p>
        </w:tc>
        <w:tc>
          <w:tcPr>
            <w:tcW w:w="1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Sec. 162(m)</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Change in FMV of Warrants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
        </w:trPr>
        <w:tc>
          <w:tcPr>
            <w:tcW w:w="71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202"/>
        </w:trPr>
        <w:tc>
          <w:tcPr>
            <w:tcW w:w="63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r>
      <w:tr>
        <w:trPr>
          <w:trHeight w:val="196"/>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provision at statutory rate</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21.0%</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7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credits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7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162(m)</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(0.7)%</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(20.2)%</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(19.6)%</w:t>
            </w:r>
          </w:p>
        </w:tc>
      </w:tr>
      <w:tr>
        <w:trPr>
          <w:trHeight w:val="203"/>
        </w:trPr>
        <w:tc>
          <w:tcPr>
            <w:tcW w:w="7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(0.5)%</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0.0%</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0.0%</w:t>
            </w: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effective tax rates differ from the federal statutory rate primarily due to the change in valuation allowance.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deferred income tax assets and liabilities as of December 31, 2025 and 2024 were as follows (in thousands):</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6"/>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9"/>
        </w:trPr>
        <w:tc>
          <w:tcPr>
            <w:tcW w:w="69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 carry forward</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152,117</w:t>
            </w:r>
          </w:p>
        </w:tc>
        <w:tc>
          <w:tcPr>
            <w:tcW w:w="1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79,991</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credits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31,567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24,293</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Intangibles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100" w:type="dxa"/>
            <w:vAlign w:val="bottom"/>
          </w:tcPr>
          <w:p>
            <w:pPr>
              <w:spacing w:after="0"/>
              <w:rPr>
                <w:sz w:val="17"/>
                <w:szCs w:val="17"/>
                <w:color w:val="auto"/>
              </w:rPr>
            </w:pPr>
          </w:p>
        </w:tc>
      </w:tr>
      <w:tr>
        <w:trPr>
          <w:trHeight w:val="202"/>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costs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47,018</w:t>
            </w: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Fixed assets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Accruals and reserves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tcPr>
          <w:p>
            <w:pPr>
              <w:spacing w:after="0"/>
              <w:rPr>
                <w:sz w:val="17"/>
                <w:szCs w:val="17"/>
                <w:color w:val="auto"/>
              </w:rPr>
            </w:pPr>
          </w:p>
        </w:tc>
      </w:tr>
      <w:tr>
        <w:trPr>
          <w:trHeight w:val="19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deferred tax assets before valuation allowance</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201,995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158,964</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Valuation allowance</w:t>
            </w:r>
          </w:p>
        </w:tc>
        <w:tc>
          <w:tcPr>
            <w:tcW w:w="3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(200,666)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(158,121)</w:t>
            </w:r>
          </w:p>
        </w:tc>
      </w:tr>
      <w:tr>
        <w:trPr>
          <w:trHeight w:val="19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deferred tax assets</w:t>
            </w:r>
          </w:p>
        </w:tc>
        <w:tc>
          <w:tcPr>
            <w:tcW w:w="3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(843)</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deferred tax liabilities</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(843)</w:t>
            </w:r>
          </w:p>
        </w:tc>
      </w:tr>
      <w:tr>
        <w:trPr>
          <w:trHeight w:val="20"/>
        </w:trPr>
        <w:tc>
          <w:tcPr>
            <w:tcW w:w="69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3"/>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deferred tax assets (liabilities)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-160020</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-142875</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-160020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-142875</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assesses the realizability of deferred tax assets based on the available evidence, including a history of taxable income and estimates of future taxable income. In assessing the realizability of deferred tax assets, the Company considers whether it is more likely than not that all or some portion of deferred tax assets will not be realized. Due to the losses the Company generated in the current and prior years; the Company believes it is not more likely than not that all of the deferred tax assets can be realized. Accordingly, the Company established and recorded a full valuation allowance on its net deferred tax assets of $200.7 million as of December 31, 2025 and a net valuation allowance on its deferred tax assets of $158.1 million as of December 31, 2024. The valuation allowance increased by $42.5 million for the year ended December 31, 2025.</w:t>
      </w:r>
    </w:p>
    <w:p>
      <w:pPr>
        <w:spacing w:after="0" w:line="21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Tax Cuts and Jobs Act (the “Tax Act”), foreign accumulated earnings that were subject to the mandatory transition tax as of December 31, 2017, can be repatriated to the U.S. without incurring further U.S. federal tax. The Tax Act moves towards a modified territorial tax system through the provision of a 100% dividend received deduction for the foreign-source portions of dividends received from controlled foreign subsidiaries. As a result, the Company continues to evaluate the indefinite reinvestment assertions with regards to unremitted earnings for our foreign subsidiaries. The Company has asserted its intention to indefinitely reinvest the undistributed earnings of foreign subsidiaries. The unrecognized deferred tax liability on the portion of the undistributed earnings considered indefinitely reinvested is not material.</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$607.4 million of U.S. federal and $356.1 million of state net operating loss carryforwards available to reduce future taxable income, of which $604.2 million will be carried forward indefinitely for U.S. federal tax purposes and the remainder of losses will expire beginning in 2036 for federal and 2031 for state tax purposes.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also has federal and California research and development tax credit carryforwards of $34.3 million and $23.9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federal research credit carryforwards will expire in 2036 and California research credits can be carried forward indefinitely.</w:t>
      </w:r>
    </w:p>
    <w:p>
      <w:pPr>
        <w:spacing w:after="0" w:line="20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The Company has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94" w:lineRule="exact"/>
        <w:rPr>
          <w:sz w:val="20"/>
          <w:szCs w:val="20"/>
          <w:color w:val="auto"/>
        </w:rPr>
      </w:pPr>
    </w:p>
    <w:p>
      <w:pPr>
        <w:ind w:right="660"/>
        <w:spacing w:after="0" w:line="297" w:lineRule="auto"/>
        <w:rPr>
          <w:sz w:val="20"/>
          <w:szCs w:val="20"/>
          <w:color w:val="auto"/>
        </w:rPr>
      </w:pPr>
      <w:r>
        <w:rPr>
          <w:rFonts w:ascii="Times New Roman" w:cs="Times New Roman" w:eastAsia="Times New Roman" w:hAnsi="Times New Roman"/>
          <w:sz w:val="18"/>
          <w:szCs w:val="18"/>
          <w:color w:val="auto"/>
        </w:rPr>
        <w:t>completed analysis as of December 31, 2025 and doesn’t expect any net operating loss carryforwards or tax credit carryforwards to expire due to a limitation.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accrues for uncertain tax positions identified, which are not deemed more likely than not to be sustained if challenged, and recognizes interest and penalties accrued on any unrecognized tax benefits as a component of income tax expense. The Company has not accrued any interest on uncertain tax benefits associated with unrecognized tax benefits and had immaterial cumulative interest and penalties as of December 31, 2025, 2024 and 2023.</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(in thousands):</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51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Unrecognized tax benefits as of the beginning of the year</w:t>
            </w: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18,317</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13,809</w:t>
            </w:r>
          </w:p>
        </w:tc>
        <w:tc>
          <w:tcPr>
            <w:tcW w:w="16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8,872</w:t>
            </w:r>
          </w:p>
        </w:tc>
        <w:tc>
          <w:tcPr>
            <w:tcW w:w="10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Increase related to prior year tax provisions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related to prior year tax provisions</w:t>
            </w:r>
          </w:p>
        </w:tc>
        <w:tc>
          <w:tcPr>
            <w:tcW w:w="9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Increase related to current year tax provisions</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100" w:type="dxa"/>
            <w:vAlign w:val="bottom"/>
          </w:tcPr>
          <w:p>
            <w:pPr>
              <w:spacing w:after="0"/>
              <w:rPr>
                <w:sz w:val="17"/>
                <w:szCs w:val="17"/>
                <w:color w:val="auto"/>
              </w:rPr>
            </w:pPr>
          </w:p>
        </w:tc>
      </w:tr>
      <w:tr>
        <w:trPr>
          <w:trHeight w:val="20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Statue lapse</w:t>
            </w:r>
          </w:p>
        </w:tc>
        <w:tc>
          <w:tcPr>
            <w:tcW w:w="9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Unrecognized tax benefits as of the end of the year</w:t>
            </w: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23,662</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18,317</w:t>
            </w:r>
          </w:p>
        </w:tc>
        <w:tc>
          <w:tcPr>
            <w:tcW w:w="16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13,809</w:t>
            </w:r>
          </w:p>
        </w:tc>
        <w:tc>
          <w:tcPr>
            <w:tcW w:w="100" w:type="dxa"/>
            <w:vAlign w:val="bottom"/>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-162560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-162560</wp:posOffset>
            </wp:positionV>
            <wp:extent cx="596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There are no amounts included in the balance of unrecognized tax benefits as of December 31, 2025, 2024 and 2023, that, if recognized, would affect the effective tax rate.</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major tax jurisdictions are the United States, various states and India. Due to the net operating loss carryforward since inception, all tax years are open for examination. There have been no examinations of the Company’s income tax returns by any tax authority.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33"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remaining lease terms were 3.1 years and 1.2 years as of December 31, 2025 and 2024, respectively. The weighted-average discount rates were 8.5% and 6.04% as of December 31, 2025 and 2024, respectively. Operating lease costs for the years ended December 31, 2025, 2024 and 2023, were $3.5 million, $3.8 million, and $3.7 million, respectively.</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Short-term lease costs for the years ended December 31, 2025 and 2024, were $0.1 million and $0.1 million, respectively.</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Variable lease costs for the years ended December 31, 2025 and 2024, were $0.5 million and $0.6 million, respectively.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reconciled to the carrying value of the operating lease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2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2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2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24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lease liability</w:t>
            </w:r>
          </w:p>
        </w:tc>
        <w:tc>
          <w:tcPr>
            <w:tcW w:w="2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FF0FC"/>
            </w:tcBorders>
            <w:shd w:val="clear" w:color="auto" w:fill="CFF0FC"/>
          </w:tcPr>
          <w:p>
            <w:pPr>
              <w:spacing w:after="0" w:line="20" w:lineRule="exact"/>
              <w:rPr>
                <w:sz w:val="1"/>
                <w:szCs w:val="1"/>
                <w:color w:val="auto"/>
              </w:rPr>
            </w:pPr>
          </w:p>
        </w:tc>
        <w:tc>
          <w:tcPr>
            <w:tcW w:w="2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-299720</wp:posOffset>
            </wp:positionV>
            <wp:extent cx="596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actions, claims, suits, and other proceedings in the ordinary course of business, including assertions by third parties relating to intellectual property infringement, breaches of contract or warranties, or employment-related matters. When it is both probable that a liability has been incurred and the amount of the loss can be reasonably estimated, the Company records a liability for such loss contingencies. The Company’s estimates regarding potential losses and materiality are based on the Company’s judgment and assessment of the claims utilizing currently available information. Although the Company will continue to reassess its reserves and estimates based on future developments, the Company’s objective assessment of the legal merits of such claims may not always be predictive of the outcome and actual results may vary from the Company’s current estimates.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 other matters</w:t>
      </w:r>
    </w:p>
    <w:p>
      <w:pPr>
        <w:spacing w:after="0" w:line="119"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March 7, 2024, a putative class action lawsuit was filed in the Court of Chancery of the State of Delaware against InterPrivate Acquisition Management LLC, InterPrivate LLC, and former directors and officers of </w:t>
      </w:r>
      <w:r>
        <w:rPr>
          <w:rFonts w:ascii="Times New Roman" w:cs="Times New Roman" w:eastAsia="Times New Roman" w:hAnsi="Times New Roman"/>
          <w:sz w:val="18"/>
          <w:szCs w:val="18"/>
          <w:color w:val="1D1C1D"/>
        </w:rPr>
        <w:t>IPV</w:t>
      </w:r>
      <w:r>
        <w:rPr>
          <w:rFonts w:ascii="Times New Roman" w:cs="Times New Roman" w:eastAsia="Times New Roman" w:hAnsi="Times New Roman"/>
          <w:sz w:val="18"/>
          <w:szCs w:val="18"/>
          <w:color w:val="auto"/>
        </w:rPr>
        <w:t xml:space="preserve">. The lawsuit was captioned </w:t>
      </w:r>
      <w:r>
        <w:rPr>
          <w:rFonts w:ascii="Times New Roman" w:cs="Times New Roman" w:eastAsia="Times New Roman" w:hAnsi="Times New Roman"/>
          <w:sz w:val="18"/>
          <w:szCs w:val="18"/>
          <w:i w:val="1"/>
          <w:iCs w:val="1"/>
          <w:color w:val="auto"/>
        </w:rPr>
        <w:t>Louis Smith v. Ahmed M. Fattouh, et al.</w:t>
      </w:r>
      <w:r>
        <w:rPr>
          <w:rFonts w:ascii="Times New Roman" w:cs="Times New Roman" w:eastAsia="Times New Roman" w:hAnsi="Times New Roman"/>
          <w:sz w:val="18"/>
          <w:szCs w:val="18"/>
          <w:color w:val="auto"/>
        </w:rPr>
        <w:t xml:space="preserve">, No. 2024-0221 (Del. Ch.), and later as No. 1:24-cv-00484 (D. Del.) following its removal to federal court. On June 3, 2024, a second putative class action lawsuit was filed in the Court of Chancery of the State of Delaware against IPV and Soroush Salehian and Mina Rezk (collectively, the “Delaware Stockholder Litigation”). The lawsuit is captioned </w:t>
      </w:r>
      <w:r>
        <w:rPr>
          <w:rFonts w:ascii="Times New Roman" w:cs="Times New Roman" w:eastAsia="Times New Roman" w:hAnsi="Times New Roman"/>
          <w:sz w:val="18"/>
          <w:szCs w:val="18"/>
          <w:i w:val="1"/>
          <w:iCs w:val="1"/>
          <w:color w:val="auto"/>
        </w:rPr>
        <w:t>Todd Katz v. Ahmed M. Fattouh et al.</w:t>
      </w:r>
      <w:r>
        <w:rPr>
          <w:rFonts w:ascii="Times New Roman" w:cs="Times New Roman" w:eastAsia="Times New Roman" w:hAnsi="Times New Roman"/>
          <w:sz w:val="18"/>
          <w:szCs w:val="18"/>
          <w:color w:val="auto"/>
        </w:rPr>
        <w:t>, No. 2024-0598 (Del. Ch.). Among other remedies, the complaints seek damages and attorneys’ fees and costs. In connection with the Business Combination, the Company agreed to assume certain indemnification obligations to IPV’s former directors and officers.</w:t>
      </w:r>
    </w:p>
    <w:p>
      <w:pPr>
        <w:spacing w:after="0" w:line="189"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On July 2, 2024, Aeva and the parties to the Delaware Stockholder Litigation entered into a term sheet, and on December 6, 2024 entered into a formal settlement agreement where the Company agreed to pay a total settlement cost of $14.0 million in exchange for a release of all claims. The settlement was paid pursuant to our indemnification obligations and from available director and officer insurance policies. On September 12, 2025, the Delaware Court of Chancery issued a final order approving the terms and conditions set forth in the settlement agreement.</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paid in full the $14.0 million of accrued liability in connection with the settlement of the Delaware Stockholder Litigation. The Company has also recovered $2.5 million from an insurance carrier.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is not subject to potential obligations under guarantees that fall within the scope of FASB ASC Guarantees (Topic 460), except for standard indemnification provisions that are contained within many of the Company’s customer agreements and give rise only to disclosure requirements prescribed by Topic 460. Indemnification provisions contained within the Company’s customer agreements are generally consistent with those prevalent in the Company’s industry. The Company has not incurred any obligations under customer indemnification provisions and does not expect to incur significant obligations in the future. Accordingly, the Company does not maintain accruals for potential customer indemnification obligations.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Information</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an enterprise for which separate financial information is evaluated regularly by the chief operating decision-maker (“CODM”), consisting of the Company’s chief executive officer and the Company’s chief technology officer as a group, in deciding how to allocate resources and assess the Company’s financial and operational performance. In addition, the Company’s CODM evaluates the Company’s financial information and resources and assesses the performance of these resources on a consolidated basis. As a result, the Company has determined that the Company’s business operates in a single operating segment. The CODM uses net loss as the measure of profit and loss to allocate resources and assess performance. The CODM regularly reviews net loss as reported on the Company's consolidated statements of operations. Financial forecasts and budget to actual results used by the CODM to assess performance and allocate resources, as well as those used for strategic decisions related to headcount and capital expenditures are also reviewed on a consolidated basis. The CODM considers the impact of the significant segment expenses in the table below on net loss.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2" w:name="page93"/>
    <w:bookmarkEnd w:id="92"/>
    <w:p>
      <w:pPr>
        <w:spacing w:after="0" w:line="19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balance sheet as total assets. The CODM does not review segment assets at a level other than as presented in the Company's consolidated balance sheets.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Company's consolidated operating results including segment expenses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4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44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20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18,079</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9,065</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100" w:type="dxa"/>
            <w:vAlign w:val="bottom"/>
            <w:shd w:val="clear" w:color="auto" w:fill="CFF0FC"/>
          </w:tcPr>
          <w:p>
            <w:pPr>
              <w:spacing w:after="0"/>
              <w:rPr>
                <w:sz w:val="18"/>
                <w:szCs w:val="18"/>
                <w:color w:val="auto"/>
              </w:rPr>
            </w:pPr>
          </w:p>
        </w:tc>
      </w:tr>
      <w:tr>
        <w:trPr>
          <w:trHeight w:val="21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 (1)</w:t>
            </w:r>
          </w:p>
        </w:tc>
        <w:tc>
          <w:tcPr>
            <w:tcW w:w="120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21,843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23,708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23,675</w:t>
            </w:r>
          </w:p>
        </w:tc>
        <w:tc>
          <w:tcPr>
            <w:tcW w:w="100" w:type="dxa"/>
            <w:vAlign w:val="bottom"/>
            <w:shd w:val="clear" w:color="auto" w:fill="CFF0FC"/>
          </w:tcPr>
          <w:p>
            <w:pPr>
              <w:spacing w:after="0"/>
              <w:rPr>
                <w:sz w:val="19"/>
                <w:szCs w:val="19"/>
                <w:color w:val="auto"/>
              </w:rPr>
            </w:pPr>
          </w:p>
        </w:tc>
      </w:tr>
      <w:tr>
        <w:trPr>
          <w:trHeight w:val="213"/>
        </w:trPr>
        <w:tc>
          <w:tcPr>
            <w:tcW w:w="5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joint development agreement (2)</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Cost of revenue (excluding 1 and 2)</w:t>
            </w:r>
          </w:p>
        </w:tc>
        <w:tc>
          <w:tcPr>
            <w:tcW w:w="120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9,233</w:t>
            </w:r>
          </w:p>
        </w:tc>
        <w:tc>
          <w:tcPr>
            <w:tcW w:w="100" w:type="dxa"/>
            <w:vAlign w:val="bottom"/>
            <w:shd w:val="clear" w:color="auto" w:fill="CFF0FC"/>
          </w:tcPr>
          <w:p>
            <w:pPr>
              <w:spacing w:after="0"/>
              <w:rPr>
                <w:sz w:val="19"/>
                <w:szCs w:val="19"/>
                <w:color w:val="auto"/>
              </w:rPr>
            </w:pPr>
          </w:p>
        </w:tc>
      </w:tr>
      <w:tr>
        <w:trPr>
          <w:trHeight w:val="213"/>
        </w:trPr>
        <w:tc>
          <w:tcPr>
            <w:tcW w:w="5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 expenses (excluding 1)</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86,010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85,743</w:t>
            </w:r>
          </w:p>
        </w:tc>
        <w:tc>
          <w:tcPr>
            <w:tcW w:w="100" w:type="dxa"/>
            <w:vAlign w:val="bottom"/>
          </w:tcPr>
          <w:p>
            <w:pPr>
              <w:spacing w:after="0"/>
              <w:rPr>
                <w:sz w:val="18"/>
                <w:szCs w:val="18"/>
                <w:color w:val="auto"/>
              </w:rPr>
            </w:pPr>
          </w:p>
        </w:tc>
      </w:tr>
      <w:tr>
        <w:trPr>
          <w:trHeight w:val="219"/>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General and administrative expenses (excluding 1)</w:t>
            </w:r>
          </w:p>
        </w:tc>
        <w:tc>
          <w:tcPr>
            <w:tcW w:w="120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26,630</w:t>
            </w:r>
          </w:p>
        </w:tc>
        <w:tc>
          <w:tcPr>
            <w:tcW w:w="100" w:type="dxa"/>
            <w:vAlign w:val="bottom"/>
            <w:shd w:val="clear" w:color="auto" w:fill="CFF0FC"/>
          </w:tcPr>
          <w:p>
            <w:pPr>
              <w:spacing w:after="0"/>
              <w:rPr>
                <w:sz w:val="19"/>
                <w:szCs w:val="19"/>
                <w:color w:val="auto"/>
              </w:rPr>
            </w:pPr>
          </w:p>
        </w:tc>
      </w:tr>
      <w:tr>
        <w:trPr>
          <w:trHeight w:val="213"/>
        </w:trPr>
        <w:tc>
          <w:tcPr>
            <w:tcW w:w="5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and marketing expenses (excluding 1)</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6,819</w:t>
            </w:r>
          </w:p>
        </w:tc>
        <w:tc>
          <w:tcPr>
            <w:tcW w:w="100" w:type="dxa"/>
            <w:vAlign w:val="bottom"/>
          </w:tcPr>
          <w:p>
            <w:pPr>
              <w:spacing w:after="0"/>
              <w:rPr>
                <w:sz w:val="18"/>
                <w:szCs w:val="18"/>
                <w:color w:val="auto"/>
              </w:rPr>
            </w:pPr>
          </w:p>
        </w:tc>
      </w:tr>
      <w:tr>
        <w:trPr>
          <w:trHeight w:val="205"/>
        </w:trPr>
        <w:tc>
          <w:tcPr>
            <w:tcW w:w="5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Litigation settlement, net</w:t>
            </w:r>
          </w:p>
        </w:tc>
        <w:tc>
          <w:tcPr>
            <w:tcW w:w="1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7"/>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(127,597)</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(158,372)</w:t>
            </w:r>
          </w:p>
        </w:tc>
        <w:tc>
          <w:tcPr>
            <w:tcW w:w="3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(147,788)</w:t>
            </w:r>
          </w:p>
        </w:tc>
      </w:tr>
      <w:tr>
        <w:trPr>
          <w:trHeight w:val="219"/>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Financing charges (3)</w:t>
            </w:r>
          </w:p>
        </w:tc>
        <w:tc>
          <w:tcPr>
            <w:tcW w:w="120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(3,788)</w:t>
            </w:r>
          </w:p>
        </w:tc>
      </w:tr>
      <w:tr>
        <w:trPr>
          <w:trHeight w:val="213"/>
        </w:trPr>
        <w:tc>
          <w:tcPr>
            <w:tcW w:w="5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Fair value at issuance of Series A warrants (4)</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(6,500)</w:t>
            </w:r>
          </w:p>
        </w:tc>
      </w:tr>
      <w:tr>
        <w:trPr>
          <w:trHeight w:val="219"/>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Fair value gain on settlement of share subscription liability</w:t>
            </w:r>
          </w:p>
        </w:tc>
        <w:tc>
          <w:tcPr>
            <w:tcW w:w="120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fair value of warrant liabilities (5)</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(1,486)</w:t>
            </w:r>
          </w:p>
        </w:tc>
        <w:tc>
          <w:tcPr>
            <w:tcW w:w="3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(182)</w:t>
            </w:r>
          </w:p>
        </w:tc>
      </w:tr>
      <w:tr>
        <w:trPr>
          <w:trHeight w:val="219"/>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1200" w:type="dxa"/>
            <w:vAlign w:val="bottom"/>
            <w:shd w:val="clear" w:color="auto" w:fill="CFF0FC"/>
          </w:tcPr>
          <w:p>
            <w:pPr>
              <w:spacing w:after="0"/>
              <w:rPr>
                <w:sz w:val="19"/>
                <w:szCs w:val="19"/>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100" w:type="dxa"/>
            <w:vAlign w:val="bottom"/>
            <w:shd w:val="clear" w:color="auto" w:fill="CFF0FC"/>
          </w:tcPr>
          <w:p>
            <w:pPr>
              <w:spacing w:after="0"/>
              <w:rPr>
                <w:sz w:val="19"/>
                <w:szCs w:val="19"/>
                <w:color w:val="auto"/>
              </w:rPr>
            </w:pPr>
          </w:p>
        </w:tc>
      </w:tr>
      <w:tr>
        <w:trPr>
          <w:trHeight w:val="213"/>
        </w:trPr>
        <w:tc>
          <w:tcPr>
            <w:tcW w:w="5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 (expense), net (excluding 3)</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Income tax provision</w:t>
            </w:r>
          </w:p>
        </w:tc>
        <w:tc>
          <w:tcPr>
            <w:tcW w:w="120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(171)</w:t>
            </w: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4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(145,428)</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(152,261)</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(149,333)</w:t>
            </w:r>
          </w:p>
        </w:tc>
      </w:tr>
      <w:tr>
        <w:trPr>
          <w:trHeight w:val="20"/>
        </w:trPr>
        <w:tc>
          <w:tcPr>
            <w:tcW w:w="54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4638675</wp:posOffset>
            </wp:positionH>
            <wp:positionV relativeFrom="paragraph">
              <wp:posOffset>-2644140</wp:posOffset>
            </wp:positionV>
            <wp:extent cx="102235"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2235" cy="171450"/>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-2644140</wp:posOffset>
            </wp:positionV>
            <wp:extent cx="93980" cy="1714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-2644140</wp:posOffset>
            </wp:positionV>
            <wp:extent cx="93980" cy="1714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-1259840</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-1259840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-162560</wp:posOffset>
            </wp:positionV>
            <wp:extent cx="768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-162560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External Customers</w:t>
      </w:r>
    </w:p>
    <w:p>
      <w:pPr>
        <w:spacing w:after="0" w:line="13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Revenues from customers outside the United States were 26%, 14%, and 35% of total revenues for the years ended December 31, 2025, 2024 and 2023, respectively.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property and equipment, net by geographic region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4000" w:type="dxa"/>
            <w:vAlign w:val="bottom"/>
            <w:gridSpan w:val="2"/>
            <w:shd w:val="clear" w:color="auto" w:fill="CFF0FC"/>
          </w:tcPr>
          <w:p>
            <w:pPr>
              <w:jc w:val="right"/>
              <w:ind w:right="13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8,135</w:t>
            </w:r>
          </w:p>
        </w:tc>
        <w:tc>
          <w:tcPr>
            <w:tcW w:w="120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6,645</w:t>
            </w:r>
          </w:p>
        </w:tc>
        <w:tc>
          <w:tcPr>
            <w:tcW w:w="100" w:type="dxa"/>
            <w:vAlign w:val="bottom"/>
            <w:shd w:val="clear" w:color="auto" w:fill="CFF0FC"/>
          </w:tcPr>
          <w:p>
            <w:pPr>
              <w:spacing w:after="0"/>
              <w:rPr>
                <w:sz w:val="17"/>
                <w:szCs w:val="17"/>
                <w:color w:val="auto"/>
              </w:rPr>
            </w:pPr>
          </w:p>
        </w:tc>
      </w:tr>
      <w:tr>
        <w:trPr>
          <w:trHeight w:val="20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Asia</w:t>
            </w:r>
          </w:p>
        </w:tc>
        <w:tc>
          <w:tcPr>
            <w:tcW w:w="244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3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tcPr>
          <w:p>
            <w:pPr>
              <w:spacing w:after="0"/>
              <w:rPr>
                <w:sz w:val="17"/>
                <w:szCs w:val="17"/>
                <w:color w:val="auto"/>
              </w:rPr>
            </w:pPr>
          </w:p>
        </w:tc>
      </w:tr>
      <w:tr>
        <w:trPr>
          <w:trHeight w:val="236"/>
        </w:trPr>
        <w:tc>
          <w:tcPr>
            <w:tcW w:w="3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4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13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12,845</w:t>
            </w:r>
          </w:p>
        </w:tc>
        <w:tc>
          <w:tcPr>
            <w:tcW w:w="3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as of December 31, 2025, using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(“COSO”).</w:t>
      </w:r>
    </w:p>
    <w:p>
      <w:pPr>
        <w:spacing w:after="0" w:line="18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Based on our evaluation under the COSO framework, our management has concluded that our internal control over financial reporting was effective as of December 31, 2025,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Company’s registered public accounting firm regarding internal control over financial reporting. Management’s report was not subject to attestation by the Company’s registered public accounting firm pursuant to the rules of the SEC that permit non-accelerated filers such as our company to provide only management’s report in the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Exchange Act that occurred during the quarter ended December 31, 2025,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no Section 16 directors and officers, adopted, modified, or terminated a “Rule 10b5-1 trading arrangement” (as defined in Item 408 of Regulation S-K of the Exchange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3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to be filed with the Securities and Exchange Commission in connection with our 2026 Annual Meeting of Stockholders within 120 days after the end of the fiscal year ended December 31, 2025 (the “Proxy Statement”).</w:t>
      </w:r>
    </w:p>
    <w:p>
      <w:pPr>
        <w:spacing w:after="0" w:line="17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(the “Code”). The Code applies to all of our employees, officers, and directors. The full text of our Code of Conduct is posted on the investor relations page of our website at https://investors.aeva.com/governance-documents. We intend to disclose future amendments to, or waivers of, the Code, as and to the extent required by SEC regulations, at the same location on our website identified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or in public filings.</w:t>
      </w:r>
    </w:p>
    <w:p>
      <w:pPr>
        <w:spacing w:after="0" w:line="239"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Our Board has adopted an Insider Trading Policy applicable to trading in the Company’s securities. The Insider Trading Policy applies to all directors, officers, employees, and Aeva may deem that the Insider Trading Policy applies to additional persons with access to material non-public information, such as consultants and independent contractors. The full text of our Insider Trading Policy can be found in Exhibit 19 to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32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329"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35" w:lineRule="exact"/>
        <w:rPr>
          <w:sz w:val="20"/>
          <w:szCs w:val="20"/>
          <w:color w:val="auto"/>
        </w:rPr>
      </w:pPr>
    </w:p>
    <w:p>
      <w:pPr>
        <w:jc w:val="right"/>
        <w:ind w:right="214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96" w:name="page97"/>
    <w:bookmarkEnd w:id="9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Schedules List the following documents filed as a part of the report:</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statements are set forth under Item 8 of this Annual Report on Form 10-K. Financial statement schedules have been omitted since they are either not required, not applicable, or the information is otherwise included.</w:t>
      </w:r>
    </w:p>
    <w:p>
      <w:pPr>
        <w:spacing w:after="0" w:line="67" w:lineRule="exact"/>
        <w:rPr>
          <w:sz w:val="20"/>
          <w:szCs w:val="20"/>
          <w:color w:val="auto"/>
        </w:rPr>
      </w:pPr>
    </w:p>
    <w:p>
      <w:pPr>
        <w:ind w:left="1020" w:right="2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to exhibits are filed or incorporated by reference as part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80" w:type="dxa"/>
            <w:vAlign w:val="bottom"/>
            <w:gridSpan w:val="29"/>
          </w:tcPr>
          <w:p>
            <w:pPr>
              <w:jc w:val="center"/>
              <w:ind w:right="48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88"/>
        </w:trPr>
        <w:tc>
          <w:tcPr>
            <w:tcW w:w="10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80" w:type="dxa"/>
            <w:vAlign w:val="bottom"/>
            <w:gridSpan w:val="29"/>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380" w:type="dxa"/>
            <w:vAlign w:val="bottom"/>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right"/>
              <w:ind w:right="432"/>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9720" w:type="dxa"/>
            <w:vAlign w:val="bottom"/>
            <w:tcBorders>
              <w:top w:val="single" w:sz="8" w:color="auto"/>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Business Combination Agreement, dated as of November 2, 2020, by and among InterPrivate Acquisition Corp., WILLY Merger Sub</w:t>
              </w:r>
            </w:hyperlink>
          </w:p>
        </w:tc>
        <w:tc>
          <w:tcPr>
            <w:tcW w:w="380" w:type="dxa"/>
            <w:vAlign w:val="bottom"/>
            <w:tcBorders>
              <w:top w:val="single" w:sz="8" w:color="auto"/>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43"/>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Corp., and Aeva, Inc. (incorporated by reference to Annex A to the Proxy Statement/Prospectus/Consent Solicitation Statement).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97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Second Amended and Restated Certificate of Incorporation of Aeva Technologies, Inc. (incorporated by reference to Exhibit 3.1 to the</w:t>
              </w:r>
            </w:hyperlink>
          </w:p>
        </w:tc>
        <w:tc>
          <w:tcPr>
            <w:tcW w:w="38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Current Report on Form 8-K filed by the Registrant on March 18, 2021).</w:t>
              </w:r>
            </w:hyperlink>
          </w:p>
        </w:tc>
        <w:tc>
          <w:tcPr>
            <w:tcW w:w="48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000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Certificate of Amendment to Amended and Restated Certificate of Incorporation of Aeva Technologies, Inc. (incorporated by reference to</w:t>
              </w:r>
            </w:hyperlink>
          </w:p>
        </w:tc>
        <w:tc>
          <w:tcPr>
            <w:tcW w:w="1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89">
              <w:r>
                <w:rPr>
                  <w:rFonts w:ascii="Times New Roman" w:cs="Times New Roman" w:eastAsia="Times New Roman" w:hAnsi="Times New Roman"/>
                  <w:sz w:val="18"/>
                  <w:szCs w:val="18"/>
                  <w:color w:val="0000FF"/>
                  <w:w w:val="99"/>
                </w:rPr>
                <w:t>Exhibit 3.1 to the Current Report on Form 8-K filed by the Registrant on March 18, 2024).</w:t>
              </w:r>
            </w:hyperlink>
          </w:p>
        </w:tc>
        <w:tc>
          <w:tcPr>
            <w:tcW w:w="20" w:type="dxa"/>
            <w:vAlign w:val="bottom"/>
            <w:tcBorders>
              <w:bottom w:val="single" w:sz="8" w:color="0000EE"/>
            </w:tcBorders>
          </w:tcPr>
          <w:p>
            <w:pPr>
              <w:spacing w:after="0"/>
              <w:rPr>
                <w:sz w:val="17"/>
                <w:szCs w:val="17"/>
                <w:color w:val="auto"/>
              </w:rPr>
            </w:pPr>
          </w:p>
        </w:tc>
        <w:tc>
          <w:tcPr>
            <w:tcW w:w="35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ind w:right="512"/>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99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Amended and Restated By-laws of Aeva Technologies, Inc. (incorporated by reference to Exhibit 3.2 to the Current Report on Form 8-K</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filed by the Registrant on March 18, 2021).</w:t>
              </w:r>
            </w:hyperlink>
          </w:p>
        </w:tc>
        <w:tc>
          <w:tcPr>
            <w:tcW w:w="69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97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Specimen Common Stock Certificate (incorporated by reference to Exhibit 4.2 to the Registration Statement on Form S-1 filed by the</w:t>
              </w:r>
            </w:hyperlink>
          </w:p>
        </w:tc>
        <w:tc>
          <w:tcPr>
            <w:tcW w:w="42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Registrant on January 24, 2020).</w:t>
              </w:r>
            </w:hyperlink>
          </w:p>
        </w:tc>
        <w:tc>
          <w:tcPr>
            <w:tcW w:w="772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0100" w:type="dxa"/>
            <w:vAlign w:val="bottom"/>
            <w:tcBorders>
              <w:bottom w:val="single" w:sz="8" w:color="0000FF"/>
            </w:tcBorders>
            <w:gridSpan w:val="42"/>
          </w:tcPr>
          <w:p>
            <w:pPr>
              <w:spacing w:after="0"/>
              <w:rPr>
                <w:rFonts w:ascii="Times New Roman" w:cs="Times New Roman" w:eastAsia="Times New Roman" w:hAnsi="Times New Roman"/>
                <w:sz w:val="18"/>
                <w:szCs w:val="18"/>
                <w:color w:val="0000FF"/>
                <w:w w:val="99"/>
              </w:rPr>
            </w:pPr>
            <w:hyperlink r:id="rId392">
              <w:r>
                <w:rPr>
                  <w:rFonts w:ascii="Times New Roman" w:cs="Times New Roman" w:eastAsia="Times New Roman" w:hAnsi="Times New Roman"/>
                  <w:sz w:val="18"/>
                  <w:szCs w:val="18"/>
                  <w:color w:val="0000FF"/>
                  <w:w w:val="99"/>
                </w:rPr>
                <w:t>Specimen Warrant Certificate (incorporated by reference to Exhibit 4.3 to the Registration Statement on Form S-1 filed by the Registrant on</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January 24, 2020).</w:t>
              </w:r>
            </w:hyperlink>
          </w:p>
        </w:tc>
        <w:tc>
          <w:tcPr>
            <w:tcW w:w="874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998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Description of Registrant's Securities (incorporated by reference to Exhibit 4.4 to the Annual Report on Form 10-K filed by the Registrant</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393">
              <w:r>
                <w:rPr>
                  <w:rFonts w:ascii="Times New Roman" w:cs="Times New Roman" w:eastAsia="Times New Roman" w:hAnsi="Times New Roman"/>
                  <w:sz w:val="18"/>
                  <w:szCs w:val="18"/>
                  <w:color w:val="0000FF"/>
                  <w:w w:val="98"/>
                </w:rPr>
                <w:t>on March 20, 2025).</w:t>
              </w:r>
            </w:hyperlink>
          </w:p>
        </w:tc>
        <w:tc>
          <w:tcPr>
            <w:tcW w:w="20" w:type="dxa"/>
            <w:vAlign w:val="bottom"/>
            <w:tcBorders>
              <w:bottom w:val="single" w:sz="8" w:color="0000EE"/>
            </w:tcBorders>
          </w:tcPr>
          <w:p>
            <w:pPr>
              <w:spacing w:after="0"/>
              <w:rPr>
                <w:sz w:val="17"/>
                <w:szCs w:val="17"/>
                <w:color w:val="auto"/>
              </w:rPr>
            </w:pPr>
          </w:p>
        </w:tc>
        <w:tc>
          <w:tcPr>
            <w:tcW w:w="862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9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Shareholder Agreement, dated as of September 27, 2022, by and among the Company and investment entities affiliated with Sylebra</w:t>
              </w:r>
            </w:hyperlink>
          </w:p>
        </w:tc>
        <w:tc>
          <w:tcPr>
            <w:tcW w:w="5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Capital Limited (incorporated by reference to Exhibit 10.1 to the Current Report on Form 8-K filed by the Registrant on September 30,</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94">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ind w:right="512"/>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98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Registration Rights Agreement, dated as of November 8, 2023, by and among investment entities affiliated with Sylebra Capital Limited</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and the Company (incorporated by reference to Exhibit 4.1 to the Current Report on Form 8-K filed by the Registrant on November 8,</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w w:val="98"/>
              </w:rPr>
            </w:pPr>
            <w:hyperlink r:id="rId395">
              <w:r>
                <w:rPr>
                  <w:rFonts w:ascii="Times New Roman" w:cs="Times New Roman" w:eastAsia="Times New Roman" w:hAnsi="Times New Roman"/>
                  <w:sz w:val="18"/>
                  <w:szCs w:val="18"/>
                  <w:color w:val="0000FF"/>
                  <w:w w:val="98"/>
                </w:rPr>
                <w:t>2023).</w:t>
              </w:r>
            </w:hyperlink>
          </w:p>
        </w:tc>
        <w:tc>
          <w:tcPr>
            <w:tcW w:w="40" w:type="dxa"/>
            <w:vAlign w:val="bottom"/>
            <w:tcBorders>
              <w:bottom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006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Shareholder Agreement, dated as of November 8, 2023, by and among the Company and investment entities affiliated with Sylebra Capital</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43"/>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Limited (incorporated by reference to Exhibit 4.2 to the Current Report on Form 8-K filed by the Registrant on November 8,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right"/>
              <w:ind w:right="512"/>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10100" w:type="dxa"/>
            <w:vAlign w:val="bottom"/>
            <w:tcBorders>
              <w:bottom w:val="single" w:sz="8" w:color="0000FF"/>
            </w:tcBorders>
            <w:gridSpan w:val="42"/>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Indenture (including Form of Note) with respect to Aeva Technologies, Inc.’s 4.375% Convertible Senior Notes due 2032, dated November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6, 2025, by and between the Company, Aeva, Inc. and U.S. Bank Trust Company, National Association (incorporated by reference to</w:t>
              </w:r>
            </w:hyperlink>
          </w:p>
        </w:tc>
        <w:tc>
          <w:tcPr>
            <w:tcW w:w="4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97">
              <w:r>
                <w:rPr>
                  <w:rFonts w:ascii="Times New Roman" w:cs="Times New Roman" w:eastAsia="Times New Roman" w:hAnsi="Times New Roman"/>
                  <w:sz w:val="18"/>
                  <w:szCs w:val="18"/>
                  <w:color w:val="0000FF"/>
                  <w:w w:val="99"/>
                </w:rPr>
                <w:t>Exhibit 4.1 to the Current Report on Form 8-K filed by the Registrant on November 6, 2025).</w:t>
              </w:r>
            </w:hyperlink>
          </w:p>
        </w:tc>
        <w:tc>
          <w:tcPr>
            <w:tcW w:w="33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996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Form of 4.375% Convertible Senior Notes due 2032 (incorporated by reference to Exhibit 4.1 to the Current Report on Form 8-K filed by</w:t>
              </w:r>
            </w:hyperlink>
          </w:p>
        </w:tc>
        <w:tc>
          <w:tcPr>
            <w:tcW w:w="1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43"/>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the Registrant on November 6,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right"/>
              <w:ind w:right="512"/>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8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Standby Equity Purchase Agreement, dated as of November 8, 2023 by and among the Company and investment entities affiliated with</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FF"/>
            </w:tcBorders>
            <w:gridSpan w:val="42"/>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Sylebra Capital Limited (incorporated by reference to Exhibit 10.2 to the Current Report on Form 8-K filed by the Registrant on November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6"/>
              </w:rPr>
            </w:pPr>
            <w:hyperlink r:id="rId398">
              <w:r>
                <w:rPr>
                  <w:rFonts w:ascii="Times New Roman" w:cs="Times New Roman" w:eastAsia="Times New Roman" w:hAnsi="Times New Roman"/>
                  <w:sz w:val="18"/>
                  <w:szCs w:val="18"/>
                  <w:color w:val="0000FF"/>
                  <w:w w:val="96"/>
                </w:rPr>
                <w:t>8, 2023).</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98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Amendment to Standby Equity Purchase Agreement dated as of September 5, 2024 by and among the Company and investment entities</w:t>
              </w:r>
            </w:hyperlink>
          </w:p>
        </w:tc>
        <w:tc>
          <w:tcPr>
            <w:tcW w:w="3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affiliated with Sylebra Capital Limited (incorporated by reference to Exhibit 10.1 to the Quarterly Report on Form 10-Q filed by the</w:t>
              </w:r>
            </w:hyperlink>
          </w:p>
        </w:tc>
        <w:tc>
          <w:tcPr>
            <w:tcW w:w="5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Registrant on November 7, 2024).</w:t>
              </w:r>
            </w:hyperlink>
          </w:p>
        </w:tc>
        <w:tc>
          <w:tcPr>
            <w:tcW w:w="762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ind w:right="512"/>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97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Second Amendment to Standby Equity Purchase Agreement, dated May 15, 2025, by and among the Company and investment entities</w:t>
              </w:r>
            </w:hyperlink>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affiliated with Sylebra Capital Limited. (incorporated by reference to Exhibit 10.1 to the Quarterly Report on Form 10-Q filed by the</w:t>
              </w:r>
            </w:hyperlink>
          </w:p>
        </w:tc>
        <w:tc>
          <w:tcPr>
            <w:tcW w:w="4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Registrant on August 6, 2025).</w:t>
              </w:r>
            </w:hyperlink>
          </w:p>
        </w:tc>
        <w:tc>
          <w:tcPr>
            <w:tcW w:w="786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ind w:right="512"/>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96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Third Amendment to Standby Equity Purchase Agreement, dated June 30, 2025, by and among the Company and investment entities</w:t>
              </w:r>
            </w:hyperlink>
          </w:p>
        </w:tc>
        <w:tc>
          <w:tcPr>
            <w:tcW w:w="4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affiliated with Sylebra Capital Limited. (incorporated by reference to Exhibit 10.2 to the Quarterly Report on Form 10-Q filed by the</w:t>
              </w:r>
            </w:hyperlink>
          </w:p>
        </w:tc>
        <w:tc>
          <w:tcPr>
            <w:tcW w:w="5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Registrant on August 6, 2025).</w:t>
              </w:r>
            </w:hyperlink>
          </w:p>
        </w:tc>
        <w:tc>
          <w:tcPr>
            <w:tcW w:w="786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right"/>
              <w:ind w:right="512"/>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10080" w:type="dxa"/>
            <w:vAlign w:val="bottom"/>
            <w:tcBorders>
              <w:bottom w:val="single" w:sz="8" w:color="0000FF"/>
            </w:tcBorders>
            <w:gridSpan w:val="41"/>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Stockholders Agreement, dated as of March 12, 2021, by and among the Company and certain stockholders of the Company named therein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(incorporated by reference to Exhibit 10.2 to the Current Report on Form 8-K filed by the Registrant on March 18, 2021).</w:t>
              </w:r>
            </w:hyperlink>
          </w:p>
        </w:tc>
        <w:tc>
          <w:tcPr>
            <w:tcW w:w="13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0100" w:type="dxa"/>
            <w:vAlign w:val="bottom"/>
            <w:tcBorders>
              <w:bottom w:val="single" w:sz="8" w:color="0000FF"/>
            </w:tcBorders>
            <w:gridSpan w:val="42"/>
          </w:tcPr>
          <w:p>
            <w:pPr>
              <w:spacing w:after="0"/>
              <w:rPr>
                <w:rFonts w:ascii="Times New Roman" w:cs="Times New Roman" w:eastAsia="Times New Roman" w:hAnsi="Times New Roman"/>
                <w:sz w:val="18"/>
                <w:szCs w:val="18"/>
                <w:color w:val="0000FF"/>
                <w:w w:val="99"/>
              </w:rPr>
            </w:pPr>
            <w:hyperlink r:id="rId403">
              <w:r>
                <w:rPr>
                  <w:rFonts w:ascii="Times New Roman" w:cs="Times New Roman" w:eastAsia="Times New Roman" w:hAnsi="Times New Roman"/>
                  <w:sz w:val="18"/>
                  <w:szCs w:val="18"/>
                  <w:color w:val="0000FF"/>
                  <w:w w:val="99"/>
                </w:rPr>
                <w:t>Form of Director and Officer Indemnification Agreement (incorporated by reference to Exhibit 10.12 to the Registration Statement on Form</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S-4/A filed by the Registrant on January 13, 2021).</w:t>
              </w:r>
            </w:hyperlink>
          </w:p>
        </w:tc>
        <w:tc>
          <w:tcPr>
            <w:tcW w:w="63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98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Aeva, Inc. 2016 Stock Incentive Plan (incorporated by reference to Exhibit 10.13 to the Registration Statement on Form S-4 filed by the</w:t>
              </w:r>
            </w:hyperlink>
          </w:p>
        </w:tc>
        <w:tc>
          <w:tcPr>
            <w:tcW w:w="2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Registrant on December 3, 2020).</w:t>
              </w:r>
            </w:hyperlink>
          </w:p>
        </w:tc>
        <w:tc>
          <w:tcPr>
            <w:tcW w:w="764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020" w:type="dxa"/>
            <w:vAlign w:val="bottom"/>
          </w:tcPr>
          <w:p>
            <w:pPr>
              <w:spacing w:after="0"/>
              <w:rPr>
                <w:sz w:val="24"/>
                <w:szCs w:val="24"/>
                <w:color w:val="auto"/>
              </w:rPr>
            </w:pPr>
          </w:p>
        </w:tc>
        <w:tc>
          <w:tcPr>
            <w:tcW w:w="5400" w:type="dxa"/>
            <w:vAlign w:val="bottom"/>
            <w:gridSpan w:val="16"/>
          </w:tcPr>
          <w:p>
            <w:pPr>
              <w:jc w:val="right"/>
              <w:ind w:right="619"/>
              <w:spacing w:after="0"/>
              <w:rPr>
                <w:sz w:val="20"/>
                <w:szCs w:val="20"/>
                <w:color w:val="auto"/>
              </w:rPr>
            </w:pPr>
            <w:r>
              <w:rPr>
                <w:rFonts w:ascii="Times New Roman" w:cs="Times New Roman" w:eastAsia="Times New Roman" w:hAnsi="Times New Roman"/>
                <w:sz w:val="18"/>
                <w:szCs w:val="18"/>
                <w:color w:val="auto"/>
              </w:rPr>
              <w:t>97</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98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Form of Stock Option Award Agreement under Aeva, Inc. 2016 Stock Incentive Plan (incorporated by reference to Exhibit 10.14 to the</w:t>
              </w:r>
            </w:hyperlink>
          </w:p>
        </w:tc>
        <w:tc>
          <w:tcPr>
            <w:tcW w:w="30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0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Registration Statement on Form S-4 filed by the Registrant on December 3, 2020).</w:t>
              </w:r>
            </w:hyperlink>
          </w:p>
        </w:tc>
        <w:tc>
          <w:tcPr>
            <w:tcW w:w="4100" w:type="dxa"/>
            <w:vAlign w:val="bottom"/>
            <w:gridSpan w:val="19"/>
          </w:tcPr>
          <w:p>
            <w:pPr>
              <w:spacing w:after="0"/>
              <w:rPr>
                <w:sz w:val="17"/>
                <w:szCs w:val="17"/>
                <w:color w:val="auto"/>
              </w:rPr>
            </w:pPr>
          </w:p>
        </w:tc>
      </w:tr>
      <w:tr>
        <w:trPr>
          <w:trHeight w:val="209"/>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99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Form of Restricted Stock Purchase Award Agreement under Aeva, Inc. 2016 Stock Incentive Plan. (incorporated by reference to Exhibit</w:t>
              </w:r>
            </w:hyperlink>
          </w:p>
        </w:tc>
        <w:tc>
          <w:tcPr>
            <w:tcW w:w="200" w:type="dxa"/>
            <w:vAlign w:val="bottom"/>
            <w:gridSpan w:val="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6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r>
                <w:rPr>
                  <w:rFonts w:ascii="Times New Roman" w:cs="Times New Roman" w:eastAsia="Times New Roman" w:hAnsi="Times New Roman"/>
                  <w:sz w:val="18"/>
                  <w:szCs w:val="18"/>
                  <w:color w:val="0000FF"/>
                </w:rPr>
                <w:t xml:space="preserve"> to the Registration Statement on Form S-4 filed by the Registrant on December 3, 2020).</w:t>
              </w:r>
            </w:hyperlink>
          </w:p>
        </w:tc>
        <w:tc>
          <w:tcPr>
            <w:tcW w:w="3200" w:type="dxa"/>
            <w:vAlign w:val="bottom"/>
            <w:gridSpan w:val="15"/>
          </w:tcPr>
          <w:p>
            <w:pPr>
              <w:spacing w:after="0"/>
              <w:rPr>
                <w:sz w:val="17"/>
                <w:szCs w:val="17"/>
                <w:color w:val="auto"/>
              </w:rPr>
            </w:pPr>
          </w:p>
        </w:tc>
      </w:tr>
      <w:tr>
        <w:trPr>
          <w:trHeight w:val="209"/>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99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Aeva Technologies, Inc. 2021 Incentive Award Plan (incorporated by reference to Exhibit 10.13 to the Current Report on Form 8-K filed</w:t>
              </w:r>
            </w:hyperlink>
          </w:p>
        </w:tc>
        <w:tc>
          <w:tcPr>
            <w:tcW w:w="160" w:type="dxa"/>
            <w:vAlign w:val="bottom"/>
            <w:gridSpan w:val="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27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09">
              <w:r>
                <w:rPr>
                  <w:rFonts w:ascii="Times New Roman" w:cs="Times New Roman" w:eastAsia="Times New Roman" w:hAnsi="Times New Roman"/>
                  <w:sz w:val="18"/>
                  <w:szCs w:val="18"/>
                  <w:color w:val="0000FF"/>
                  <w:w w:val="99"/>
                </w:rPr>
                <w:t>by the Registrant on March 18, 2021).</w:t>
              </w:r>
            </w:hyperlink>
          </w:p>
        </w:tc>
        <w:tc>
          <w:tcPr>
            <w:tcW w:w="20" w:type="dxa"/>
            <w:vAlign w:val="bottom"/>
            <w:tcBorders>
              <w:bottom w:val="single" w:sz="8" w:color="0000EE"/>
            </w:tcBorders>
          </w:tcPr>
          <w:p>
            <w:pPr>
              <w:spacing w:after="0"/>
              <w:rPr>
                <w:sz w:val="17"/>
                <w:szCs w:val="17"/>
                <w:color w:val="auto"/>
              </w:rPr>
            </w:pPr>
          </w:p>
        </w:tc>
        <w:tc>
          <w:tcPr>
            <w:tcW w:w="7320" w:type="dxa"/>
            <w:vAlign w:val="bottom"/>
            <w:gridSpan w:val="25"/>
          </w:tcPr>
          <w:p>
            <w:pPr>
              <w:spacing w:after="0"/>
              <w:rPr>
                <w:sz w:val="17"/>
                <w:szCs w:val="17"/>
                <w:color w:val="auto"/>
              </w:rPr>
            </w:pPr>
          </w:p>
        </w:tc>
      </w:tr>
      <w:tr>
        <w:trPr>
          <w:trHeight w:val="209"/>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98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Employment Agreement by and between Aeva Technologies, Inc. and Soroush Salehian Dardashti dated May 27, 2022 (incorporated by</w:t>
              </w:r>
            </w:hyperlink>
          </w:p>
        </w:tc>
        <w:tc>
          <w:tcPr>
            <w:tcW w:w="22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2"/>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reference to Exhibit 10.1 to the Current Report on Form 8-K filed by the Registrant on May 27, 2022).</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411">
              <w:r>
                <w:rPr>
                  <w:rFonts w:ascii="Times New Roman" w:cs="Times New Roman" w:eastAsia="Times New Roman" w:hAnsi="Times New Roman"/>
                  <w:sz w:val="18"/>
                  <w:szCs w:val="18"/>
                  <w:color w:val="0000FF"/>
                  <w:w w:val="99"/>
                </w:rPr>
                <w:t>Employment Agreement by and between Aeva Technologies, Inc. and Mina Rezk dated May 27, 2022 (incorporated by reference to Exhibit</w:t>
              </w:r>
            </w:hyperlink>
          </w:p>
        </w:tc>
      </w:tr>
      <w:tr>
        <w:trPr>
          <w:trHeight w:val="196"/>
        </w:trPr>
        <w:tc>
          <w:tcPr>
            <w:tcW w:w="1140" w:type="dxa"/>
            <w:vAlign w:val="bottom"/>
          </w:tcPr>
          <w:p>
            <w:pPr>
              <w:spacing w:after="0"/>
              <w:rPr>
                <w:sz w:val="17"/>
                <w:szCs w:val="17"/>
                <w:color w:val="auto"/>
              </w:rPr>
            </w:pPr>
          </w:p>
        </w:tc>
        <w:tc>
          <w:tcPr>
            <w:tcW w:w="10100" w:type="dxa"/>
            <w:vAlign w:val="bottom"/>
            <w:gridSpan w:val="32"/>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Current Report on Form 8-K filed by the Registrant on May 27, 2022).</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98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Employment Agreement by and between Aeva Technologies, Inc. and Saurabh Sinha dated May 27, 2022 (incorporated by reference to</w:t>
              </w:r>
            </w:hyperlink>
          </w:p>
        </w:tc>
        <w:tc>
          <w:tcPr>
            <w:tcW w:w="280" w:type="dxa"/>
            <w:vAlign w:val="bottom"/>
            <w:gridSpan w:val="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2"/>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Exhibit 10.3 to the Current Report on Form 8-K filed by the Registrant on May 27, 2022).</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99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Form of Stock Option Award Agreement under Aeva Technologies, Inc. 2021 Stock Incentive Plan (incorporated by reference to Exhibit</w:t>
              </w:r>
            </w:hyperlink>
          </w:p>
        </w:tc>
        <w:tc>
          <w:tcPr>
            <w:tcW w:w="180" w:type="dxa"/>
            <w:vAlign w:val="bottom"/>
            <w:gridSpan w:val="5"/>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61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r>
                <w:rPr>
                  <w:rFonts w:ascii="Times New Roman" w:cs="Times New Roman" w:eastAsia="Times New Roman" w:hAnsi="Times New Roman"/>
                  <w:sz w:val="18"/>
                  <w:szCs w:val="18"/>
                  <w:color w:val="0000FF"/>
                </w:rPr>
                <w:t xml:space="preserve"> to the Current Report on Form 8-K filed by the Registrant on March 18, 2021).</w:t>
              </w:r>
            </w:hyperlink>
          </w:p>
        </w:tc>
        <w:tc>
          <w:tcPr>
            <w:tcW w:w="3920" w:type="dxa"/>
            <w:vAlign w:val="bottom"/>
            <w:gridSpan w:val="18"/>
          </w:tcPr>
          <w:p>
            <w:pPr>
              <w:spacing w:after="0"/>
              <w:rPr>
                <w:sz w:val="17"/>
                <w:szCs w:val="17"/>
                <w:color w:val="auto"/>
              </w:rPr>
            </w:pPr>
          </w:p>
        </w:tc>
      </w:tr>
      <w:tr>
        <w:trPr>
          <w:trHeight w:val="210"/>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98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Form of Restricted Stock Purchase Award Agreement under Aeva Technologies, Inc. 2021 Incentive Plan (incorporated by reference to</w:t>
              </w:r>
            </w:hyperlink>
          </w:p>
        </w:tc>
        <w:tc>
          <w:tcPr>
            <w:tcW w:w="280" w:type="dxa"/>
            <w:vAlign w:val="bottom"/>
            <w:gridSpan w:val="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67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Exhibit 10.15 to the Current Report on Form 8-K filed by the Registrant on March 18, 2021).</w:t>
              </w:r>
            </w:hyperlink>
          </w:p>
        </w:tc>
        <w:tc>
          <w:tcPr>
            <w:tcW w:w="3340" w:type="dxa"/>
            <w:vAlign w:val="bottom"/>
            <w:gridSpan w:val="16"/>
          </w:tcPr>
          <w:p>
            <w:pPr>
              <w:spacing w:after="0"/>
              <w:rPr>
                <w:sz w:val="17"/>
                <w:szCs w:val="17"/>
                <w:color w:val="auto"/>
              </w:rPr>
            </w:pPr>
          </w:p>
        </w:tc>
      </w:tr>
      <w:tr>
        <w:trPr>
          <w:trHeight w:val="196"/>
        </w:trPr>
        <w:tc>
          <w:tcPr>
            <w:tcW w:w="11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9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Aeva Technologies, Inc. Performance-Based Restricted Stock Unit Agreement (incorporated by reference to Exhibit 10.1 to the Quarterly</w:t>
              </w:r>
            </w:hyperlink>
          </w:p>
        </w:tc>
        <w:tc>
          <w:tcPr>
            <w:tcW w:w="14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2"/>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Report on Form 10-Q filed by the Registrant on August 10, 2023).</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101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Amendment No. 1 to Aeva Technologies, Inc. 2021 Incentive Award Plan (incorporated by reference to Annex A to the Registrant’s Proxy</w:t>
              </w:r>
            </w:hyperlink>
          </w:p>
        </w:tc>
      </w:tr>
      <w:tr>
        <w:trPr>
          <w:trHeight w:val="196"/>
        </w:trPr>
        <w:tc>
          <w:tcPr>
            <w:tcW w:w="1140" w:type="dxa"/>
            <w:vAlign w:val="bottom"/>
          </w:tcPr>
          <w:p>
            <w:pPr>
              <w:spacing w:after="0"/>
              <w:rPr>
                <w:sz w:val="17"/>
                <w:szCs w:val="17"/>
                <w:color w:val="auto"/>
              </w:rPr>
            </w:pPr>
          </w:p>
        </w:tc>
        <w:tc>
          <w:tcPr>
            <w:tcW w:w="39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Statement on Schedule 14A filed on October 4, 2022).</w:t>
              </w:r>
            </w:hyperlink>
          </w:p>
        </w:tc>
        <w:tc>
          <w:tcPr>
            <w:tcW w:w="20" w:type="dxa"/>
            <w:vAlign w:val="bottom"/>
            <w:tcBorders>
              <w:bottom w:val="single" w:sz="8" w:color="0000EE"/>
            </w:tcBorders>
          </w:tcPr>
          <w:p>
            <w:pPr>
              <w:spacing w:after="0"/>
              <w:rPr>
                <w:sz w:val="17"/>
                <w:szCs w:val="17"/>
                <w:color w:val="auto"/>
              </w:rPr>
            </w:pPr>
          </w:p>
        </w:tc>
        <w:tc>
          <w:tcPr>
            <w:tcW w:w="6160" w:type="dxa"/>
            <w:vAlign w:val="bottom"/>
            <w:gridSpan w:val="22"/>
          </w:tcPr>
          <w:p>
            <w:pPr>
              <w:spacing w:after="0"/>
              <w:rPr>
                <w:sz w:val="17"/>
                <w:szCs w:val="17"/>
                <w:color w:val="auto"/>
              </w:rPr>
            </w:pPr>
          </w:p>
        </w:tc>
      </w:tr>
      <w:tr>
        <w:trPr>
          <w:trHeight w:val="196"/>
        </w:trPr>
        <w:tc>
          <w:tcPr>
            <w:tcW w:w="11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9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Aeva Technologies, Inc. 2022 Employee Stock Purchase Plan (incorporated by reference to Annex B to the Registrant’s Proxy Statement</w:t>
              </w:r>
            </w:hyperlink>
          </w:p>
        </w:tc>
        <w:tc>
          <w:tcPr>
            <w:tcW w:w="16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2"/>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on Schedule 14A filed on October 4, 2022)</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8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100" w:type="dxa"/>
            <w:vAlign w:val="bottom"/>
            <w:gridSpan w:val="32"/>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Insider Trading Policy (incorporated by reference to Exhibit 19.1 to the Annual Report on Form 10-K filed by the Registrant on March 21,</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417">
              <w:r>
                <w:rPr>
                  <w:rFonts w:ascii="Times New Roman" w:cs="Times New Roman" w:eastAsia="Times New Roman" w:hAnsi="Times New Roman"/>
                  <w:sz w:val="18"/>
                  <w:szCs w:val="18"/>
                  <w:color w:val="0000FF"/>
                  <w:w w:val="95"/>
                </w:rPr>
                <w:t>2025)</w:t>
              </w:r>
            </w:hyperlink>
          </w:p>
        </w:tc>
        <w:tc>
          <w:tcPr>
            <w:tcW w:w="20" w:type="dxa"/>
            <w:vAlign w:val="bottom"/>
            <w:tcBorders>
              <w:top w:val="single" w:sz="8" w:color="0000FF"/>
              <w:bottom w:val="single" w:sz="8" w:color="0000EE"/>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99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List of subsidiaries of Aeva Technologies, Inc. (incorporated by reference to Exhibit 21.1 to the Annual Report on Form 10-K filed by the</w:t>
              </w:r>
            </w:hyperlink>
          </w:p>
        </w:tc>
        <w:tc>
          <w:tcPr>
            <w:tcW w:w="120" w:type="dxa"/>
            <w:vAlign w:val="bottom"/>
            <w:gridSpan w:val="2"/>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2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Registrant on March 21, 2025)</w:t>
              </w:r>
            </w:hyperlink>
          </w:p>
        </w:tc>
        <w:tc>
          <w:tcPr>
            <w:tcW w:w="7840" w:type="dxa"/>
            <w:vAlign w:val="bottom"/>
            <w:gridSpan w:val="27"/>
          </w:tcPr>
          <w:p>
            <w:pPr>
              <w:spacing w:after="0"/>
              <w:rPr>
                <w:sz w:val="17"/>
                <w:szCs w:val="17"/>
                <w:color w:val="auto"/>
              </w:rPr>
            </w:pPr>
          </w:p>
        </w:tc>
      </w:tr>
      <w:tr>
        <w:trPr>
          <w:trHeight w:val="210"/>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75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 registered accounting firm for Aeva Technologies, Inc.</w:t>
            </w:r>
          </w:p>
        </w:tc>
        <w:tc>
          <w:tcPr>
            <w:tcW w:w="2580" w:type="dxa"/>
            <w:vAlign w:val="bottom"/>
            <w:gridSpan w:val="12"/>
          </w:tcPr>
          <w:p>
            <w:pPr>
              <w:spacing w:after="0"/>
              <w:rPr>
                <w:sz w:val="18"/>
                <w:szCs w:val="18"/>
                <w:color w:val="auto"/>
              </w:rPr>
            </w:pPr>
          </w:p>
        </w:tc>
      </w:tr>
      <w:tr>
        <w:trPr>
          <w:trHeight w:val="210"/>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74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c>
          <w:tcPr>
            <w:tcW w:w="2620" w:type="dxa"/>
            <w:vAlign w:val="bottom"/>
            <w:gridSpan w:val="13"/>
          </w:tcPr>
          <w:p>
            <w:pPr>
              <w:spacing w:after="0"/>
              <w:rPr>
                <w:sz w:val="18"/>
                <w:szCs w:val="18"/>
                <w:color w:val="auto"/>
              </w:rPr>
            </w:pPr>
          </w:p>
        </w:tc>
      </w:tr>
      <w:tr>
        <w:trPr>
          <w:trHeight w:val="196"/>
        </w:trPr>
        <w:tc>
          <w:tcPr>
            <w:tcW w:w="11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6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 Section 302 of the Sarbanes-Oxley Act of 2002</w:t>
            </w:r>
          </w:p>
        </w:tc>
        <w:tc>
          <w:tcPr>
            <w:tcW w:w="1480" w:type="dxa"/>
            <w:vAlign w:val="bottom"/>
            <w:gridSpan w:val="11"/>
          </w:tcPr>
          <w:p>
            <w:pPr>
              <w:spacing w:after="0"/>
              <w:rPr>
                <w:sz w:val="17"/>
                <w:szCs w:val="17"/>
                <w:color w:val="auto"/>
              </w:rPr>
            </w:pPr>
          </w:p>
        </w:tc>
      </w:tr>
      <w:tr>
        <w:trPr>
          <w:trHeight w:val="196"/>
        </w:trPr>
        <w:tc>
          <w:tcPr>
            <w:tcW w:w="11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4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c>
          <w:tcPr>
            <w:tcW w:w="2620" w:type="dxa"/>
            <w:vAlign w:val="bottom"/>
            <w:gridSpan w:val="13"/>
          </w:tcPr>
          <w:p>
            <w:pPr>
              <w:spacing w:after="0"/>
              <w:rPr>
                <w:sz w:val="17"/>
                <w:szCs w:val="17"/>
                <w:color w:val="auto"/>
              </w:rPr>
            </w:pPr>
          </w:p>
        </w:tc>
      </w:tr>
      <w:tr>
        <w:trPr>
          <w:trHeight w:val="196"/>
        </w:trPr>
        <w:tc>
          <w:tcPr>
            <w:tcW w:w="11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6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 Section 906 of the Sarbanes-Oxley Act of 2002</w:t>
            </w:r>
          </w:p>
        </w:tc>
        <w:tc>
          <w:tcPr>
            <w:tcW w:w="1480" w:type="dxa"/>
            <w:vAlign w:val="bottom"/>
            <w:gridSpan w:val="11"/>
          </w:tcPr>
          <w:p>
            <w:pPr>
              <w:spacing w:after="0"/>
              <w:rPr>
                <w:sz w:val="17"/>
                <w:szCs w:val="17"/>
                <w:color w:val="auto"/>
              </w:rPr>
            </w:pPr>
          </w:p>
        </w:tc>
      </w:tr>
      <w:tr>
        <w:trPr>
          <w:trHeight w:val="196"/>
        </w:trPr>
        <w:tc>
          <w:tcPr>
            <w:tcW w:w="11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6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Incentive Compensation Clawback Policy (incorporated by reference to Exhibit 97.1 to the Annual Report on Form 10-K filed by the</w:t>
              </w:r>
            </w:hyperlink>
          </w:p>
        </w:tc>
        <w:tc>
          <w:tcPr>
            <w:tcW w:w="46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19">
              <w:r>
                <w:rPr>
                  <w:rFonts w:ascii="Times New Roman" w:cs="Times New Roman" w:eastAsia="Times New Roman" w:hAnsi="Times New Roman"/>
                  <w:sz w:val="18"/>
                  <w:szCs w:val="18"/>
                  <w:color w:val="0000FF"/>
                  <w:w w:val="99"/>
                </w:rPr>
                <w:t>Registrant on March 21, 2025)</w:t>
              </w:r>
            </w:hyperlink>
          </w:p>
        </w:tc>
        <w:tc>
          <w:tcPr>
            <w:tcW w:w="20" w:type="dxa"/>
            <w:vAlign w:val="bottom"/>
            <w:tcBorders>
              <w:bottom w:val="single" w:sz="8" w:color="0000EE"/>
            </w:tcBorders>
          </w:tcPr>
          <w:p>
            <w:pPr>
              <w:spacing w:after="0"/>
              <w:rPr>
                <w:sz w:val="17"/>
                <w:szCs w:val="17"/>
                <w:color w:val="auto"/>
              </w:rPr>
            </w:pPr>
          </w:p>
        </w:tc>
        <w:tc>
          <w:tcPr>
            <w:tcW w:w="7860" w:type="dxa"/>
            <w:vAlign w:val="bottom"/>
            <w:gridSpan w:val="28"/>
          </w:tcPr>
          <w:p>
            <w:pPr>
              <w:spacing w:after="0"/>
              <w:rPr>
                <w:sz w:val="17"/>
                <w:szCs w:val="17"/>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 within</w:t>
            </w:r>
          </w:p>
        </w:tc>
      </w:tr>
      <w:tr>
        <w:trPr>
          <w:trHeight w:val="216"/>
        </w:trPr>
        <w:tc>
          <w:tcPr>
            <w:tcW w:w="1140" w:type="dxa"/>
            <w:vAlign w:val="bottom"/>
          </w:tcPr>
          <w:p>
            <w:pPr>
              <w:spacing w:after="0"/>
              <w:rPr>
                <w:sz w:val="18"/>
                <w:szCs w:val="18"/>
                <w:color w:val="auto"/>
              </w:rPr>
            </w:pPr>
          </w:p>
        </w:tc>
        <w:tc>
          <w:tcPr>
            <w:tcW w:w="101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9" w:lineRule="exact"/>
        <w:rPr>
          <w:sz w:val="20"/>
          <w:szCs w:val="20"/>
          <w:color w:val="auto"/>
        </w:rPr>
      </w:pPr>
    </w:p>
    <w:p>
      <w:pPr>
        <w:ind w:right="100" w:firstLine="8"/>
        <w:spacing w:after="0" w:line="260" w:lineRule="auto"/>
        <w:tabs>
          <w:tab w:leader="none" w:pos="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Mountain View, California, on March 19, 2026.</w:t>
      </w:r>
    </w:p>
    <w:p>
      <w:pPr>
        <w:spacing w:after="0" w:line="200" w:lineRule="exact"/>
        <w:rPr>
          <w:sz w:val="20"/>
          <w:szCs w:val="20"/>
          <w:color w:val="auto"/>
        </w:rPr>
      </w:pPr>
    </w:p>
    <w:p>
      <w:pPr>
        <w:spacing w:after="0" w:line="2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AEVA TECHNOLOGIES, INC.</w:t>
      </w:r>
    </w:p>
    <w:p>
      <w:pPr>
        <w:spacing w:after="0" w:line="225" w:lineRule="exact"/>
        <w:rPr>
          <w:sz w:val="20"/>
          <w:szCs w:val="20"/>
          <w:color w:val="auto"/>
        </w:rPr>
      </w:pPr>
    </w:p>
    <w:tbl>
      <w:tblPr>
        <w:tblLayout w:type="fixed"/>
        <w:tblInd w:w="59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Soroush Salehian Dardashti</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Soroush Salehian Dardashti</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398" w:lineRule="exact"/>
        <w:rPr>
          <w:sz w:val="20"/>
          <w:szCs w:val="20"/>
          <w:color w:val="auto"/>
        </w:rPr>
      </w:pPr>
    </w:p>
    <w:p>
      <w:pPr>
        <w:ind w:left="1920"/>
        <w:spacing w:after="0"/>
        <w:tabs>
          <w:tab w:leader="none" w:pos="6760" w:val="left"/>
          <w:tab w:leader="none" w:pos="101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0980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Soroush Salehian Dardashti</w:t>
            </w:r>
          </w:p>
        </w:tc>
        <w:tc>
          <w:tcPr>
            <w:tcW w:w="4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 Executive</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March 19, 2026</w:t>
            </w:r>
          </w:p>
        </w:tc>
        <w:tc>
          <w:tcPr>
            <w:tcW w:w="0" w:type="dxa"/>
            <w:vAlign w:val="bottom"/>
          </w:tcPr>
          <w:p>
            <w:pPr>
              <w:spacing w:after="0"/>
              <w:rPr>
                <w:sz w:val="1"/>
                <w:szCs w:val="1"/>
                <w:color w:val="auto"/>
              </w:rPr>
            </w:pPr>
          </w:p>
        </w:tc>
      </w:tr>
      <w:tr>
        <w:trPr>
          <w:trHeight w:val="32"/>
        </w:trPr>
        <w:tc>
          <w:tcPr>
            <w:tcW w:w="4440" w:type="dxa"/>
            <w:vAlign w:val="bottom"/>
            <w:tcBorders>
              <w:bottom w:val="single" w:sz="8" w:color="auto"/>
            </w:tcBorders>
          </w:tcPr>
          <w:p>
            <w:pPr>
              <w:spacing w:after="0"/>
              <w:rPr>
                <w:sz w:val="2"/>
                <w:szCs w:val="2"/>
                <w:color w:val="auto"/>
              </w:rPr>
            </w:pPr>
          </w:p>
        </w:tc>
        <w:tc>
          <w:tcPr>
            <w:tcW w:w="490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color w:val="auto"/>
              </w:rPr>
              <w:t>Officer)</w:t>
            </w: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Soroush Salehian Dardashti</w:t>
            </w:r>
          </w:p>
        </w:tc>
        <w:tc>
          <w:tcPr>
            <w:tcW w:w="490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440" w:type="dxa"/>
            <w:vAlign w:val="bottom"/>
            <w:vMerge w:val="continue"/>
          </w:tcPr>
          <w:p>
            <w:pPr>
              <w:spacing w:after="0"/>
              <w:rPr>
                <w:sz w:val="23"/>
                <w:szCs w:val="23"/>
                <w:color w:val="auto"/>
              </w:rPr>
            </w:pPr>
          </w:p>
        </w:tc>
        <w:tc>
          <w:tcPr>
            <w:tcW w:w="49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7"/>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Saurabh Sinha</w:t>
            </w:r>
          </w:p>
        </w:tc>
        <w:tc>
          <w:tcPr>
            <w:tcW w:w="4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March 19, 2026</w:t>
            </w:r>
          </w:p>
        </w:tc>
        <w:tc>
          <w:tcPr>
            <w:tcW w:w="0" w:type="dxa"/>
            <w:vAlign w:val="bottom"/>
          </w:tcPr>
          <w:p>
            <w:pPr>
              <w:spacing w:after="0"/>
              <w:rPr>
                <w:sz w:val="1"/>
                <w:szCs w:val="1"/>
                <w:color w:val="auto"/>
              </w:rPr>
            </w:pPr>
          </w:p>
        </w:tc>
      </w:tr>
      <w:tr>
        <w:trPr>
          <w:trHeight w:val="32"/>
        </w:trPr>
        <w:tc>
          <w:tcPr>
            <w:tcW w:w="4440" w:type="dxa"/>
            <w:vAlign w:val="bottom"/>
            <w:tcBorders>
              <w:bottom w:val="single" w:sz="8" w:color="auto"/>
            </w:tcBorders>
          </w:tcPr>
          <w:p>
            <w:pPr>
              <w:spacing w:after="0"/>
              <w:rPr>
                <w:sz w:val="2"/>
                <w:szCs w:val="2"/>
                <w:color w:val="auto"/>
              </w:rPr>
            </w:pPr>
          </w:p>
        </w:tc>
        <w:tc>
          <w:tcPr>
            <w:tcW w:w="490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color w:val="auto"/>
              </w:rPr>
              <w:t>Officer)</w:t>
            </w: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Saurabh Sinha</w:t>
            </w:r>
          </w:p>
        </w:tc>
        <w:tc>
          <w:tcPr>
            <w:tcW w:w="490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440" w:type="dxa"/>
            <w:vAlign w:val="bottom"/>
            <w:vMerge w:val="continue"/>
          </w:tcPr>
          <w:p>
            <w:pPr>
              <w:spacing w:after="0"/>
              <w:rPr>
                <w:sz w:val="23"/>
                <w:szCs w:val="23"/>
                <w:color w:val="auto"/>
              </w:rPr>
            </w:pPr>
          </w:p>
        </w:tc>
        <w:tc>
          <w:tcPr>
            <w:tcW w:w="49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Mina Rezk</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Technology Officer and Director</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March 19, 2026</w:t>
            </w:r>
          </w:p>
        </w:tc>
        <w:tc>
          <w:tcPr>
            <w:tcW w:w="0" w:type="dxa"/>
            <w:vAlign w:val="bottom"/>
          </w:tcPr>
          <w:p>
            <w:pPr>
              <w:spacing w:after="0"/>
              <w:rPr>
                <w:sz w:val="1"/>
                <w:szCs w:val="1"/>
                <w:color w:val="auto"/>
              </w:rPr>
            </w:pPr>
          </w:p>
        </w:tc>
      </w:tr>
      <w:tr>
        <w:trPr>
          <w:trHeight w:val="459"/>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Mina Rezk</w:t>
            </w:r>
          </w:p>
        </w:tc>
        <w:tc>
          <w:tcPr>
            <w:tcW w:w="4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Stefan Sommer</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March 19, 2026</w:t>
            </w:r>
          </w:p>
        </w:tc>
        <w:tc>
          <w:tcPr>
            <w:tcW w:w="0" w:type="dxa"/>
            <w:vAlign w:val="bottom"/>
          </w:tcPr>
          <w:p>
            <w:pPr>
              <w:spacing w:after="0"/>
              <w:rPr>
                <w:sz w:val="1"/>
                <w:szCs w:val="1"/>
                <w:color w:val="auto"/>
              </w:rPr>
            </w:pPr>
          </w:p>
        </w:tc>
      </w:tr>
      <w:tr>
        <w:trPr>
          <w:trHeight w:val="459"/>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Stefan Sommer</w:t>
            </w:r>
          </w:p>
        </w:tc>
        <w:tc>
          <w:tcPr>
            <w:tcW w:w="4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Hrach Simonian</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March 19, 2026</w:t>
            </w:r>
          </w:p>
        </w:tc>
        <w:tc>
          <w:tcPr>
            <w:tcW w:w="0" w:type="dxa"/>
            <w:vAlign w:val="bottom"/>
          </w:tcPr>
          <w:p>
            <w:pPr>
              <w:spacing w:after="0"/>
              <w:rPr>
                <w:sz w:val="1"/>
                <w:szCs w:val="1"/>
                <w:color w:val="auto"/>
              </w:rPr>
            </w:pPr>
          </w:p>
        </w:tc>
      </w:tr>
      <w:tr>
        <w:trPr>
          <w:trHeight w:val="459"/>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Hrach Simonian</w:t>
            </w:r>
          </w:p>
        </w:tc>
        <w:tc>
          <w:tcPr>
            <w:tcW w:w="4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Gibson</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March 19, 2026</w:t>
            </w:r>
          </w:p>
        </w:tc>
        <w:tc>
          <w:tcPr>
            <w:tcW w:w="0" w:type="dxa"/>
            <w:vAlign w:val="bottom"/>
          </w:tcPr>
          <w:p>
            <w:pPr>
              <w:spacing w:after="0"/>
              <w:rPr>
                <w:sz w:val="1"/>
                <w:szCs w:val="1"/>
                <w:color w:val="auto"/>
              </w:rPr>
            </w:pPr>
          </w:p>
        </w:tc>
      </w:tr>
      <w:tr>
        <w:trPr>
          <w:trHeight w:val="459"/>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Daniel Gibson</w:t>
            </w:r>
          </w:p>
        </w:tc>
        <w:tc>
          <w:tcPr>
            <w:tcW w:w="4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Katherine Motlagh</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March 19, 2026</w:t>
            </w:r>
          </w:p>
        </w:tc>
        <w:tc>
          <w:tcPr>
            <w:tcW w:w="0" w:type="dxa"/>
            <w:vAlign w:val="bottom"/>
          </w:tcPr>
          <w:p>
            <w:pPr>
              <w:spacing w:after="0"/>
              <w:rPr>
                <w:sz w:val="1"/>
                <w:szCs w:val="1"/>
                <w:color w:val="auto"/>
              </w:rPr>
            </w:pPr>
          </w:p>
        </w:tc>
      </w:tr>
      <w:tr>
        <w:trPr>
          <w:trHeight w:val="234"/>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Katherine Motlagh</w:t>
            </w:r>
          </w:p>
        </w:tc>
        <w:tc>
          <w:tcPr>
            <w:tcW w:w="4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Zadesky</w:t>
            </w:r>
          </w:p>
        </w:tc>
        <w:tc>
          <w:tcPr>
            <w:tcW w:w="4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Director</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March 19, 2026</w:t>
            </w:r>
          </w:p>
        </w:tc>
        <w:tc>
          <w:tcPr>
            <w:tcW w:w="0" w:type="dxa"/>
            <w:vAlign w:val="bottom"/>
          </w:tcPr>
          <w:p>
            <w:pPr>
              <w:spacing w:after="0"/>
              <w:rPr>
                <w:sz w:val="1"/>
                <w:szCs w:val="1"/>
                <w:color w:val="auto"/>
              </w:rPr>
            </w:pPr>
          </w:p>
        </w:tc>
      </w:tr>
      <w:tr>
        <w:trPr>
          <w:trHeight w:val="234"/>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Stephen Zadesky</w:t>
            </w:r>
          </w:p>
        </w:tc>
        <w:tc>
          <w:tcPr>
            <w:tcW w:w="4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333-276441 and 333-256919 on Form S-3 and Registration Statement Nos. 333-285986, 333-256917, 333-270845 and 333-278012 on Form S-8 of our report dated March 19, 2026, relating to the financial statements of Aeva Technologies, Inc. appearing in this Annual Report on Form 10-K for the year ended December 31, 2025.</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Soroush Salehian Dardashti, certify that:</w:t>
      </w:r>
    </w:p>
    <w:p>
      <w:pPr>
        <w:spacing w:after="0" w:line="225"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Aeva Technologies,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Soroush Salehian Dardashti</w:t>
            </w:r>
          </w:p>
        </w:tc>
      </w:tr>
      <w:tr>
        <w:trPr>
          <w:trHeight w:val="191"/>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Soroush Salehian Dardashti</w:t>
            </w:r>
          </w:p>
        </w:tc>
      </w:tr>
      <w:tr>
        <w:trPr>
          <w:trHeight w:val="216"/>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11"/>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Saurabh Sinha, certify that:</w:t>
      </w:r>
    </w:p>
    <w:p>
      <w:pPr>
        <w:spacing w:after="0" w:line="225"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Aeva Technologies,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Saurabh Sinha</w:t>
            </w:r>
          </w:p>
        </w:tc>
      </w:tr>
      <w:tr>
        <w:trPr>
          <w:trHeight w:val="191"/>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Saurabh Sinha</w:t>
            </w:r>
          </w:p>
        </w:tc>
      </w:tr>
      <w:tr>
        <w:trPr>
          <w:trHeight w:val="216"/>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11"/>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Aeva Technologies, Inc. (the “Company”) on Form 10-K for the year ended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Soroush Salehian Dardashti</w:t>
            </w:r>
          </w:p>
        </w:tc>
      </w:tr>
      <w:tr>
        <w:trPr>
          <w:trHeight w:val="191"/>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Soroush Salehian Dardashti</w:t>
            </w:r>
          </w:p>
        </w:tc>
      </w:tr>
      <w:tr>
        <w:trPr>
          <w:trHeight w:val="216"/>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11"/>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Aeva Technologies, Inc. (the “Company”) on Form 10-K for the year ended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Saurabh Sinha</w:t>
            </w:r>
          </w:p>
        </w:tc>
      </w:tr>
      <w:tr>
        <w:trPr>
          <w:trHeight w:val="191"/>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Saurabh Sinha</w:t>
            </w:r>
          </w:p>
        </w:tc>
      </w:tr>
      <w:tr>
        <w:trPr>
          <w:trHeight w:val="216"/>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11"/>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lowerRoman"/>
      <w:start w:val="1"/>
    </w:lvl>
  </w:abstractNum>
  <w:abstractNum w:abstractNumId="13">
    <w:nsid w:val="B03E0C6"/>
    <w:multiLevelType w:val="hybridMultilevel"/>
    <w:lvl w:ilvl="0">
      <w:lvlJc w:val="left"/>
      <w:lvlText w:val="(%1)"/>
      <w:numFmt w:val="lowerRoman"/>
      <w:start w:val="3"/>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20"/>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2"/>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405" Type="http://schemas.openxmlformats.org/officeDocument/2006/relationships/image" Target="media/image380.png"/><Relationship Id="rId406"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387" Type="http://schemas.openxmlformats.org/officeDocument/2006/relationships/hyperlink" Target="https://www.sec.gov/Archives/edgar/data/0001789029/000121390020040791/fs42020_interprivateacq.htm#T41" TargetMode="External"/><Relationship Id="rId388" Type="http://schemas.openxmlformats.org/officeDocument/2006/relationships/hyperlink" Target="https://www.sec.gov/Archives/edgar/data/1789029/000119312521085979/d142612dex31.htm" TargetMode="External"/><Relationship Id="rId389" Type="http://schemas.openxmlformats.org/officeDocument/2006/relationships/hyperlink" Target="https://www.sec.gov/Archives/edgar/data/1789029/000119312524070371/d797793dex31.htm" TargetMode="External"/><Relationship Id="rId390" Type="http://schemas.openxmlformats.org/officeDocument/2006/relationships/hyperlink" Target="https://www.sec.gov/Archives/edgar/data/1789029/000119312521085979/d142612dex32.htm" TargetMode="External"/><Relationship Id="rId391" Type="http://schemas.openxmlformats.org/officeDocument/2006/relationships/hyperlink" Target="https://www.sec.gov/Archives/edgar/data/1789029/000121390020001698/fs12020a1ex4-2_interpriv.htm" TargetMode="External"/><Relationship Id="rId392" Type="http://schemas.openxmlformats.org/officeDocument/2006/relationships/hyperlink" Target="https://www.sec.gov/Archives/edgar/data/1789029/000121390020001698/fs12020a1ex4-3_interpriv.htm" TargetMode="External"/><Relationship Id="rId393" Type="http://schemas.openxmlformats.org/officeDocument/2006/relationships/hyperlink" Target="https://www.sec.gov/Archives/edgar/data/1789029/000095017025042849/aeva-ex4_4.htm" TargetMode="External"/><Relationship Id="rId394" Type="http://schemas.openxmlformats.org/officeDocument/2006/relationships/hyperlink" Target="https://www.sec.gov/Archives/edgar/data/1789029/000114036122035468/ny20005426x2_ex10-1.htm" TargetMode="External"/><Relationship Id="rId395" Type="http://schemas.openxmlformats.org/officeDocument/2006/relationships/hyperlink" Target="https://www.sec.gov/Archives/edgar/data/1789029/000119312523273483/d589637dex41.htm" TargetMode="External"/><Relationship Id="rId396" Type="http://schemas.openxmlformats.org/officeDocument/2006/relationships/hyperlink" Target="https://www.sec.gov/Archives/edgar/data/1789029/000119312523273483/d589637dex42.htm" TargetMode="External"/><Relationship Id="rId397" Type="http://schemas.openxmlformats.org/officeDocument/2006/relationships/hyperlink" Target="https://www.sec.gov/Archives/edgar/data/1789029/000119312525270161/d21951dex41.htm" TargetMode="External"/><Relationship Id="rId398" Type="http://schemas.openxmlformats.org/officeDocument/2006/relationships/hyperlink" Target="https://www.sec.gov/Archives/edgar/data/1789029/000119312523273483/d589637dex102.htm" TargetMode="External"/><Relationship Id="rId399" Type="http://schemas.openxmlformats.org/officeDocument/2006/relationships/hyperlink" Target="https://www.sec.gov/Archives/edgar/data/0001789029/000095017024122684/aeva-ex10_1.htm" TargetMode="External"/><Relationship Id="rId400" Type="http://schemas.openxmlformats.org/officeDocument/2006/relationships/hyperlink" Target="https://www.sec.gov/Archives/edgar/data/1789029/000095017025103384/aeva-ex10_1.htm" TargetMode="External"/><Relationship Id="rId401" Type="http://schemas.openxmlformats.org/officeDocument/2006/relationships/hyperlink" Target="https://www.sec.gov/Archives/edgar/data/1789029/000095017025103384/aeva-ex10_2.htm" TargetMode="External"/><Relationship Id="rId402" Type="http://schemas.openxmlformats.org/officeDocument/2006/relationships/hyperlink" Target="https://www.sec.gov/Archives/edgar/data/1789029/000119312521085985/d142612dex102.htm" TargetMode="External"/><Relationship Id="rId403" Type="http://schemas.openxmlformats.org/officeDocument/2006/relationships/hyperlink" Target="https://www.sec.gov/Archives/edgar/data/0001789029/000121390021002089/fs42021a1ex10-12_inter.htm" TargetMode="External"/><Relationship Id="rId404" Type="http://schemas.openxmlformats.org/officeDocument/2006/relationships/hyperlink" Target="https://www.sec.gov/Archives/edgar/data/1789029/000121390020040791/fs42020ex10-13_inter.htm" TargetMode="External"/><Relationship Id="rId407" Type="http://schemas.openxmlformats.org/officeDocument/2006/relationships/hyperlink" Target="https://www.sec.gov/Archives/edgar/data/1789029/000121390020040791/fs42020ex10-14_inter.htm" TargetMode="External"/><Relationship Id="rId408" Type="http://schemas.openxmlformats.org/officeDocument/2006/relationships/hyperlink" Target="https://www.sec.gov/Archives/edgar/data/1789029/000121390020040791/fs42020ex10-15_inter.htm" TargetMode="External"/><Relationship Id="rId409" Type="http://schemas.openxmlformats.org/officeDocument/2006/relationships/hyperlink" Target="https://www.sec.gov/Archives/edgar/data/1789029/000119312521085979/d142612dex1013.htm" TargetMode="External"/><Relationship Id="rId410" Type="http://schemas.openxmlformats.org/officeDocument/2006/relationships/hyperlink" Target="https://www.sec.gov/Archives/edgar/data/1789029/000119312522162478/d362193dex101.htm" TargetMode="External"/><Relationship Id="rId411" Type="http://schemas.openxmlformats.org/officeDocument/2006/relationships/hyperlink" Target="https://www.sec.gov/Archives/edgar/data/1789029/000119312522162478/d362193dex102.htm" TargetMode="External"/><Relationship Id="rId412" Type="http://schemas.openxmlformats.org/officeDocument/2006/relationships/hyperlink" Target="https://www.sec.gov/Archives/edgar/data/1789029/000119312522162478/d362193dex103.htm" TargetMode="External"/><Relationship Id="rId413" Type="http://schemas.openxmlformats.org/officeDocument/2006/relationships/hyperlink" Target="https://www.sec.gov/Archives/edgar/data/1789029/000119312521085979/d142612dex1014.htm" TargetMode="External"/><Relationship Id="rId414" Type="http://schemas.openxmlformats.org/officeDocument/2006/relationships/hyperlink" Target="https://www.sec.gov/Archives/edgar/data/1789029/000119312521085979/d142612dex1015.htm" TargetMode="External"/><Relationship Id="rId415" Type="http://schemas.openxmlformats.org/officeDocument/2006/relationships/hyperlink" Target="https://www.sec.gov/Archives/edgar/data/1789029/000095017023040852/aeva-ex10_1.htm" TargetMode="External"/><Relationship Id="rId416" Type="http://schemas.openxmlformats.org/officeDocument/2006/relationships/hyperlink" Target="https://www.sec.gov/Archives/edgar/data/1789029/000114036122036105/ny20005426x1_def14a.htm#tPROP4" TargetMode="External"/><Relationship Id="rId417" Type="http://schemas.openxmlformats.org/officeDocument/2006/relationships/hyperlink" Target="https://www.sec.gov/Archives/edgar/data/1789029/000095017025042849/aeva-ex19_1.htm" TargetMode="External"/><Relationship Id="rId418" Type="http://schemas.openxmlformats.org/officeDocument/2006/relationships/hyperlink" Target="https://www.sec.gov/Archives/edgar/data/1789029/000095017025042849/aeva-ex21_1.htm" TargetMode="External"/><Relationship Id="rId419" Type="http://schemas.openxmlformats.org/officeDocument/2006/relationships/hyperlink" Target="https://www.sec.gov/Archives/edgar/data/1789029/000095017025042849/aev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2026-03-20T05:16:52Z</dcterms:created>
  <dcterms:modified xsi:type="dcterms:W3CDTF">2026-03-20T05:16:52Z</dcterms:modified>
</cp:coreProperties>
</file>