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537210</wp:posOffset>
            </wp:positionH>
            <wp:positionV relativeFrom="page">
              <wp:posOffset>160655</wp:posOffset>
            </wp:positionV>
            <wp:extent cx="6482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2715" cy="8255"/>
                    </a:xfrm>
                    <a:prstGeom prst="rect">
                      <a:avLst/>
                    </a:prstGeom>
                    <a:noFill/>
                  </pic:spPr>
                </pic:pic>
              </a:graphicData>
            </a:graphic>
          </wp:anchor>
        </w:drawing>
        <w:drawing>
          <wp:anchor simplePos="0" relativeHeight="251657728" behindDoc="1" locked="0" layoutInCell="0" allowOverlap="1">
            <wp:simplePos x="0" y="0"/>
            <wp:positionH relativeFrom="page">
              <wp:posOffset>537210</wp:posOffset>
            </wp:positionH>
            <wp:positionV relativeFrom="page">
              <wp:posOffset>200025</wp:posOffset>
            </wp:positionV>
            <wp:extent cx="6482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271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2562225</wp:posOffset>
            </wp:positionH>
            <wp:positionV relativeFrom="paragraph">
              <wp:posOffset>189865</wp:posOffset>
            </wp:positionV>
            <wp:extent cx="1358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2562225</wp:posOffset>
            </wp:positionH>
            <wp:positionV relativeFrom="paragraph">
              <wp:posOffset>222250</wp:posOffset>
            </wp:positionV>
            <wp:extent cx="1358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2562225</wp:posOffset>
            </wp:positionH>
            <wp:positionV relativeFrom="paragraph">
              <wp:posOffset>197485</wp:posOffset>
            </wp:positionV>
            <wp:extent cx="1358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Aeva Technologies,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2562225</wp:posOffset>
            </wp:positionH>
            <wp:positionV relativeFrom="paragraph">
              <wp:posOffset>192405</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ectPr>
          <w:pgSz w:w="11900" w:h="16838" w:orient="portrait"/>
          <w:cols w:equalWidth="0" w:num="1">
            <w:col w:w="10221"/>
          </w:cols>
          <w:pgMar w:left="839" w:top="357" w:right="839" w:bottom="1440" w:gutter="0" w:footer="0" w:header="0"/>
        </w:sectPr>
      </w:pPr>
    </w:p>
    <w:p>
      <w:pPr>
        <w:spacing w:after="0" w:line="200" w:lineRule="exact"/>
        <w:rPr>
          <w:sz w:val="24"/>
          <w:szCs w:val="24"/>
          <w:color w:val="auto"/>
        </w:rPr>
      </w:pPr>
    </w:p>
    <w:p>
      <w:pPr>
        <w:spacing w:after="0" w:line="333" w:lineRule="exact"/>
        <w:rPr>
          <w:sz w:val="24"/>
          <w:szCs w:val="24"/>
          <w:color w:val="auto"/>
        </w:rPr>
      </w:pPr>
    </w:p>
    <w:p>
      <w:pPr>
        <w:ind w:left="1401"/>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001-39204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84-3080757</w:t>
      </w:r>
    </w:p>
    <w:p>
      <w:pPr>
        <w:spacing w:after="0" w:line="18" w:lineRule="exact"/>
        <w:rPr>
          <w:sz w:val="24"/>
          <w:szCs w:val="24"/>
          <w:color w:val="auto"/>
        </w:rPr>
      </w:pPr>
    </w:p>
    <w:p>
      <w:pPr>
        <w:sectPr>
          <w:pgSz w:w="11900" w:h="16838" w:orient="portrait"/>
          <w:cols w:equalWidth="0" w:num="3">
            <w:col w:w="4121" w:space="720"/>
            <w:col w:w="2620" w:space="720"/>
            <w:col w:w="2040"/>
          </w:cols>
          <w:pgMar w:left="839" w:top="357" w:right="839" w:bottom="1440" w:gutter="0" w:footer="0" w:header="0"/>
          <w:type w:val="continuous"/>
        </w:sectPr>
      </w:pPr>
    </w:p>
    <w:p>
      <w:pPr>
        <w:jc w:val="center"/>
        <w:ind w:right="619"/>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61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101" w:space="720"/>
            <w:col w:w="2520" w:space="720"/>
            <w:col w:w="2160"/>
          </w:cols>
          <w:pgMar w:left="839" w:top="357" w:right="8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555 Ellis Street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Mountain View, California 94043</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(650) 481-7070</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2562225</wp:posOffset>
            </wp:positionH>
            <wp:positionV relativeFrom="paragraph">
              <wp:posOffset>213995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ectPr>
          <w:pgSz w:w="11900" w:h="16838" w:orient="portrait"/>
          <w:cols w:equalWidth="0" w:num="1">
            <w:col w:w="10221"/>
          </w:cols>
          <w:pgMar w:left="839" w:top="357" w:right="839" w:bottom="1440" w:gutter="0" w:footer="0" w:header="0"/>
          <w:type w:val="continuous"/>
        </w:sectPr>
      </w:pPr>
    </w:p>
    <w:p>
      <w:pPr>
        <w:spacing w:after="0" w:line="200" w:lineRule="exact"/>
        <w:rPr>
          <w:sz w:val="24"/>
          <w:szCs w:val="24"/>
          <w:color w:val="auto"/>
        </w:rPr>
      </w:pPr>
    </w:p>
    <w:p>
      <w:pPr>
        <w:spacing w:after="0" w:line="296" w:lineRule="exact"/>
        <w:rPr>
          <w:sz w:val="24"/>
          <w:szCs w:val="24"/>
          <w:color w:val="auto"/>
        </w:rPr>
      </w:pPr>
    </w:p>
    <w:p>
      <w:pPr>
        <w:ind w:left="1" w:right="440"/>
        <w:spacing w:after="0" w:line="27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72" w:lineRule="exact"/>
        <w:rPr>
          <w:sz w:val="24"/>
          <w:szCs w:val="24"/>
          <w:color w:val="auto"/>
        </w:rPr>
      </w:pPr>
    </w:p>
    <w:p>
      <w:pPr>
        <w:ind w:left="401" w:hanging="401"/>
        <w:spacing w:after="0"/>
        <w:tabs>
          <w:tab w:leader="none" w:pos="40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17" w:lineRule="exact"/>
        <w:rPr>
          <w:rFonts w:ascii="MS PGothic" w:cs="MS PGothic" w:eastAsia="MS PGothic" w:hAnsi="MS PGothic"/>
          <w:sz w:val="17"/>
          <w:szCs w:val="17"/>
          <w:color w:val="auto"/>
        </w:rPr>
      </w:pPr>
    </w:p>
    <w:p>
      <w:pPr>
        <w:ind w:left="401" w:hanging="401"/>
        <w:spacing w:after="0"/>
        <w:tabs>
          <w:tab w:leader="none" w:pos="40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17" w:lineRule="exact"/>
        <w:rPr>
          <w:rFonts w:ascii="MS PGothic" w:cs="MS PGothic" w:eastAsia="MS PGothic" w:hAnsi="MS PGothic"/>
          <w:sz w:val="17"/>
          <w:szCs w:val="17"/>
          <w:color w:val="auto"/>
        </w:rPr>
      </w:pPr>
    </w:p>
    <w:p>
      <w:pPr>
        <w:ind w:left="401" w:hanging="401"/>
        <w:spacing w:after="0"/>
        <w:tabs>
          <w:tab w:leader="none" w:pos="40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17" w:lineRule="exact"/>
        <w:rPr>
          <w:rFonts w:ascii="MS PGothic" w:cs="MS PGothic" w:eastAsia="MS PGothic" w:hAnsi="MS PGothic"/>
          <w:sz w:val="17"/>
          <w:szCs w:val="17"/>
          <w:color w:val="auto"/>
        </w:rPr>
      </w:pPr>
    </w:p>
    <w:p>
      <w:pPr>
        <w:ind w:left="401" w:hanging="401"/>
        <w:spacing w:after="0"/>
        <w:tabs>
          <w:tab w:leader="none" w:pos="40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0" w:lineRule="exact"/>
        <w:rPr>
          <w:sz w:val="24"/>
          <w:szCs w:val="24"/>
          <w:color w:val="auto"/>
        </w:rPr>
      </w:pPr>
    </w:p>
    <w:p>
      <w:pPr>
        <w:ind w:left="1"/>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5"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74"/>
        </w:trPr>
        <w:tc>
          <w:tcPr>
            <w:tcW w:w="3580" w:type="dxa"/>
            <w:vAlign w:val="bottom"/>
            <w:gridSpan w:val="2"/>
            <w:vMerge w:val="continue"/>
          </w:tcPr>
          <w:p>
            <w:pPr>
              <w:spacing w:after="0"/>
              <w:rPr>
                <w:sz w:val="15"/>
                <w:szCs w:val="15"/>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 stock, $0.0001 par value per share</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AEVA</w:t>
            </w:r>
          </w:p>
        </w:tc>
        <w:tc>
          <w:tcPr>
            <w:tcW w:w="10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The 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1" w:right="280"/>
        <w:spacing w:after="0" w:line="27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20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1" w:right="280"/>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6482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27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159385</wp:posOffset>
            </wp:positionV>
            <wp:extent cx="6482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2715" cy="8255"/>
                    </a:xfrm>
                    <a:prstGeom prst="rect">
                      <a:avLst/>
                    </a:prstGeom>
                    <a:noFill/>
                  </pic:spPr>
                </pic:pic>
              </a:graphicData>
            </a:graphic>
          </wp:anchor>
        </w:drawing>
      </w:r>
    </w:p>
    <w:p>
      <w:pPr>
        <w:sectPr>
          <w:pgSz w:w="11900" w:h="16838" w:orient="portrait"/>
          <w:cols w:equalWidth="0" w:num="1">
            <w:col w:w="10221"/>
          </w:cols>
          <w:pgMar w:left="839" w:top="357"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52705"/>
                    </a:xfrm>
                    <a:prstGeom prst="rect">
                      <a:avLst/>
                    </a:prstGeom>
                    <a:noFill/>
                  </pic:spPr>
                </pic:pic>
              </a:graphicData>
            </a:graphic>
          </wp:anchor>
        </w:drawing>
        <w:t>Item 1.01 Entry into a Material Definitive Agreement.</w:t>
      </w:r>
    </w:p>
    <w:p>
      <w:pPr>
        <w:spacing w:after="0" w:line="10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On June 3, 2026, Aeva Technologies, Inc., a Delaware corporation (the “Company”), entered into an Underwriting Agreement (the “Underwriting Agreement”) with Morgan Stanley &amp; Co. LLC, acting as representative of the underwriters named in the Underwriting Agreement (the “Underwriters”), relating to the offer and sale of 4,494,382 shares of the Company’s common stock, par value $0.0001 per share (“Common Stock”), at a price to the public of $22.25 per share (the “Offering”). Under the terms of the Underwriting Agreement, the Company has granted the Underwriters an option, exercisable for 30 days, to purchase up to an additional 674,157 shares at the public offering price.</w:t>
      </w:r>
    </w:p>
    <w:p>
      <w:pPr>
        <w:spacing w:after="0" w:line="175"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7"/>
          <w:szCs w:val="17"/>
          <w:color w:val="auto"/>
        </w:rPr>
        <w:t>The Company expects to receive net proceeds from the Offering of approximately $94.4 million, or approximately $108.7 million if the Underwriters exercise in full their option to purchase additional shares, after deducting underwriting discounts and commissions and estimated transaction expenses. The Offering is expected to close on June 5, 2026, subject to the satisfaction of customary closing conditions.</w:t>
      </w:r>
    </w:p>
    <w:p>
      <w:pPr>
        <w:spacing w:after="0" w:line="1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Offering was made pursuant to the Company’s shelf registration statement on Form S-3, filed with the Securities and Exchange Commission (“SEC”) on June 3, 2026, which became automatically effective upon filing (File No. 333-296469) and the base prospectus included therein (the “Registration Statement”), a preliminary prospectus supplement, dated June 3, 2026, filed with the SEC pursuant to Rule 424(b) under the Securities Act of 1933, as amended (the “Securities Act”), and a final prospectus supplement, dated June 3, 2026, filed with the SEC pursuant to Rule 424(b) under the Securities Act.</w:t>
      </w:r>
    </w:p>
    <w:p>
      <w:pPr>
        <w:spacing w:after="0" w:line="17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7"/>
          <w:szCs w:val="17"/>
          <w:color w:val="auto"/>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representations, warranties and covenants contained in the Underwriting Agreement were made only for purposes of such agreement and as of specific dates and were solely for the benefit of the parties to such agreement. The foregoing description of the Underwriting Agreement does not purport to be complete and is qualified in its entirety by reference to the full text of the Underwriting Agreement. A copy of the Underwriting Agreement is attached as Exhibit 1.1 hereto and is incorporated by reference herein.</w:t>
      </w:r>
    </w:p>
    <w:p>
      <w:pPr>
        <w:spacing w:after="0" w:line="180"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7"/>
          <w:szCs w:val="17"/>
          <w:color w:val="auto"/>
        </w:rPr>
        <w:t>The legal opinion, including the related consent, of Gunderson Dettmer Stough Villeneuve Franklin &amp; Hachigian, LLP relating to the validity of the shares of the Common Stock in the Offering is filed as Exhibit 5.1 hereto.</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p>
    <w:p>
      <w:pPr>
        <w:spacing w:after="0" w:line="109"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On June 3, 2026, the Company issued a press release to announce a proposed offering of $100.0 million of shares pursuant to the Registration Statement (the “Offering Press Release”). A copy of the Offering Press Release is attached hereto as Exhibit 99.1 and is incorporated herein by reference.</w:t>
      </w:r>
    </w:p>
    <w:p>
      <w:pPr>
        <w:spacing w:after="0" w:line="136"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7"/>
          <w:szCs w:val="17"/>
          <w:color w:val="auto"/>
        </w:rPr>
        <w:t>On June 3, 2026, the Company also issued a press release to announce that it had priced the Offering (the “Pricing Press Release”). A copy of the Pricing Press Release is attached hereto as Exhibit 99.2 and is incorporated herein by reference.</w:t>
      </w:r>
    </w:p>
    <w:p>
      <w:pPr>
        <w:sectPr>
          <w:pgSz w:w="11900" w:h="16838" w:orient="portrait"/>
          <w:cols w:equalWidth="0" w:num="1">
            <w:col w:w="10200"/>
          </w:cols>
          <w:pgMar w:left="840" w:top="282" w:right="8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52705"/>
                    </a:xfrm>
                    <a:prstGeom prst="rect">
                      <a:avLst/>
                    </a:prstGeom>
                    <a:noFill/>
                  </pic:spPr>
                </pic:pic>
              </a:graphicData>
            </a:graphic>
          </wp:anchor>
        </w:drawing>
        <w:t>Item 9.01 Financial Statements and Exhibits.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8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88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Underwriting Agreement, dated June 3, 2026, by and between the Company and Morgan Stanley &amp; Co. LLC.</w:t>
            </w:r>
          </w:p>
        </w:tc>
      </w:tr>
      <w:tr>
        <w:trPr>
          <w:trHeight w:val="28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7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Opinion of Gunderson Dettmer Stough Villeneuve Franklin &amp; Hachigian, LLP.</w:t>
            </w:r>
          </w:p>
        </w:tc>
        <w:tc>
          <w:tcPr>
            <w:tcW w:w="15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28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886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Consent of Gunderson Dettmer Stough Villeneuve Franklin &amp; Hachigian, LLP (included in Exhibit 5.1).</w:t>
            </w:r>
          </w:p>
        </w:tc>
      </w:tr>
      <w:tr>
        <w:trPr>
          <w:trHeight w:val="28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38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7"/>
              </w:rPr>
              <w:t>Press release issued by the Company, dated June 3, 2026.</w:t>
            </w:r>
          </w:p>
        </w:tc>
        <w:tc>
          <w:tcPr>
            <w:tcW w:w="3140" w:type="dxa"/>
            <w:vAlign w:val="bottom"/>
            <w:tcBorders>
              <w:top w:val="single" w:sz="8" w:color="0000EE"/>
            </w:tcBorders>
            <w:gridSpan w:val="2"/>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280"/>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3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7"/>
              </w:rPr>
              <w:t>Press release issued by the Company, dated June 3, 2026.</w:t>
            </w:r>
          </w:p>
        </w:tc>
        <w:tc>
          <w:tcPr>
            <w:tcW w:w="5040" w:type="dxa"/>
            <w:vAlign w:val="bottom"/>
            <w:gridSpan w:val="4"/>
          </w:tcPr>
          <w:p>
            <w:pPr>
              <w:spacing w:after="0"/>
              <w:rPr>
                <w:sz w:val="24"/>
                <w:szCs w:val="24"/>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8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XBRL document)</w:t>
            </w:r>
          </w:p>
        </w:tc>
      </w:tr>
    </w:tbl>
    <w:p>
      <w:pPr>
        <w:sectPr>
          <w:pgSz w:w="11900" w:h="16838" w:orient="portrait"/>
          <w:cols w:equalWidth="0" w:num="1">
            <w:col w:w="10220"/>
          </w:cols>
          <w:pgMar w:left="840" w:top="282" w:right="839" w:bottom="1440" w:gutter="0" w:footer="0" w:header="0"/>
        </w:sectPr>
      </w:pPr>
    </w:p>
    <w:bookmarkStart w:id="3" w:name="page4"/>
    <w:bookmarkEnd w:id="3"/>
    <w:p>
      <w:pPr>
        <w:ind w:left="45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52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755" cy="52705"/>
                    </a:xfrm>
                    <a:prstGeom prst="rect">
                      <a:avLst/>
                    </a:prstGeom>
                    <a:noFill/>
                  </pic:spPr>
                </pic:pic>
              </a:graphicData>
            </a:graphic>
          </wp:anchor>
        </w:drawing>
        <w:t>SIGNATURES</w:t>
      </w:r>
    </w:p>
    <w:p>
      <w:pPr>
        <w:spacing w:after="0" w:line="209" w:lineRule="exact"/>
        <w:rPr>
          <w:sz w:val="20"/>
          <w:szCs w:val="20"/>
          <w:color w:val="auto"/>
        </w:rPr>
      </w:pPr>
    </w:p>
    <w:p>
      <w:pPr>
        <w:ind w:right="99"/>
        <w:spacing w:after="0" w:line="27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Aeva Technologies, Inc.</w:t>
      </w:r>
    </w:p>
    <w:p>
      <w:pPr>
        <w:spacing w:after="0" w:line="209" w:lineRule="exact"/>
        <w:rPr>
          <w:sz w:val="20"/>
          <w:szCs w:val="20"/>
          <w:color w:val="auto"/>
        </w:rPr>
      </w:pPr>
    </w:p>
    <w:p>
      <w:pPr>
        <w:spacing w:after="0"/>
        <w:tabs>
          <w:tab w:leader="none" w:pos="5200" w:val="left"/>
          <w:tab w:leader="none" w:pos="5600" w:val="left"/>
        </w:tabs>
        <w:rPr>
          <w:sz w:val="20"/>
          <w:szCs w:val="20"/>
          <w:color w:val="auto"/>
        </w:rPr>
      </w:pPr>
      <w:r>
        <w:rPr>
          <w:rFonts w:ascii="Times New Roman" w:cs="Times New Roman" w:eastAsia="Times New Roman" w:hAnsi="Times New Roman"/>
          <w:sz w:val="17"/>
          <w:szCs w:val="17"/>
          <w:color w:val="auto"/>
        </w:rPr>
        <w:t>Date:   June 4,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Saurabh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13335</wp:posOffset>
            </wp:positionV>
            <wp:extent cx="291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5920" cy="825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Saurabh Sinha</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9619"/>
          </w:cols>
          <w:pgMar w:left="840" w:top="28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20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4,494,382 Shares</w:t>
      </w:r>
    </w:p>
    <w:p>
      <w:pPr>
        <w:spacing w:after="0" w:line="20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AEVA TECHNOLOGIES, INC.</w:t>
      </w:r>
    </w:p>
    <w:p>
      <w:pPr>
        <w:spacing w:after="0" w:line="20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p>
      <w:pPr>
        <w:spacing w:after="0" w:line="2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UNDERWRITING AGREEMENT</w:t>
      </w:r>
    </w:p>
    <w:p>
      <w:pPr>
        <w:spacing w:after="0" w:line="2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June 3, 2026</w:t>
      </w:r>
    </w:p>
    <w:p>
      <w:pPr>
        <w:sectPr>
          <w:pgSz w:w="11900" w:h="16838" w:orient="portrait"/>
          <w:cols w:equalWidth="0" w:num="1">
            <w:col w:w="9600"/>
          </w:cols>
          <w:pgMar w:left="1440" w:top="119" w:right="8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755" cy="36830"/>
                    </a:xfrm>
                    <a:prstGeom prst="rect">
                      <a:avLst/>
                    </a:prstGeom>
                    <a:noFill/>
                  </pic:spPr>
                </pic:pic>
              </a:graphicData>
            </a:graphic>
          </wp:anchor>
        </w:drawing>
        <w:t>June 3,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representative of the several underwriters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named in Schedule 1 hereto</w:t>
      </w:r>
    </w:p>
    <w:p>
      <w:pPr>
        <w:spacing w:after="0" w:line="21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c/o</w:t>
        <w:tab/>
        <w:t>Morgan Stanley &amp; Co. LLC</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1585 Broadway</w:t>
      </w:r>
    </w:p>
    <w:p>
      <w:pPr>
        <w:spacing w:after="0" w:line="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01" w:lineRule="exact"/>
        <w:rPr>
          <w:sz w:val="20"/>
          <w:szCs w:val="20"/>
          <w:color w:val="auto"/>
        </w:rPr>
      </w:pPr>
    </w:p>
    <w:p>
      <w:pPr>
        <w:ind w:right="40" w:firstLine="408"/>
        <w:spacing w:after="0" w:line="250" w:lineRule="auto"/>
        <w:rPr>
          <w:sz w:val="20"/>
          <w:szCs w:val="20"/>
          <w:color w:val="auto"/>
        </w:rPr>
      </w:pPr>
      <w:r>
        <w:rPr>
          <w:rFonts w:ascii="Times New Roman" w:cs="Times New Roman" w:eastAsia="Times New Roman" w:hAnsi="Times New Roman"/>
          <w:sz w:val="17"/>
          <w:szCs w:val="17"/>
          <w:color w:val="auto"/>
        </w:rPr>
        <w:t>Aeva Technologies,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issue and sell to the several Underwriters named in Schedule I hereto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4,494,382 shares of its common stock, par value $0.0001 per share (the “</w:t>
      </w:r>
      <w:r>
        <w:rPr>
          <w:rFonts w:ascii="Times New Roman" w:cs="Times New Roman" w:eastAsia="Times New Roman" w:hAnsi="Times New Roman"/>
          <w:sz w:val="17"/>
          <w:szCs w:val="17"/>
          <w:b w:val="1"/>
          <w:bCs w:val="1"/>
          <w:color w:val="auto"/>
        </w:rPr>
        <w:t>Firm Shares</w:t>
      </w:r>
      <w:r>
        <w:rPr>
          <w:rFonts w:ascii="Times New Roman" w:cs="Times New Roman" w:eastAsia="Times New Roman" w:hAnsi="Times New Roman"/>
          <w:sz w:val="17"/>
          <w:szCs w:val="17"/>
          <w:color w:val="auto"/>
        </w:rPr>
        <w:t>”). The Company also proposes to issue and sell to the several Underwriters not more than an additional 674,157 shares of its common stock, par value $0.0001 per share (the “</w:t>
      </w:r>
      <w:r>
        <w:rPr>
          <w:rFonts w:ascii="Times New Roman" w:cs="Times New Roman" w:eastAsia="Times New Roman" w:hAnsi="Times New Roman"/>
          <w:sz w:val="17"/>
          <w:szCs w:val="17"/>
          <w:b w:val="1"/>
          <w:bCs w:val="1"/>
          <w:color w:val="auto"/>
        </w:rPr>
        <w:t>Additional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if and to the extent that Morgan Stanley &amp; Co. LLC (“</w:t>
      </w:r>
      <w:r>
        <w:rPr>
          <w:rFonts w:ascii="Times New Roman" w:cs="Times New Roman" w:eastAsia="Times New Roman" w:hAnsi="Times New Roman"/>
          <w:sz w:val="17"/>
          <w:szCs w:val="17"/>
          <w:b w:val="1"/>
          <w:bCs w:val="1"/>
          <w:color w:val="auto"/>
        </w:rPr>
        <w:t>Morgan Stanley</w:t>
      </w:r>
      <w:r>
        <w:rPr>
          <w:rFonts w:ascii="Times New Roman" w:cs="Times New Roman" w:eastAsia="Times New Roman" w:hAnsi="Times New Roman"/>
          <w:sz w:val="17"/>
          <w:szCs w:val="17"/>
          <w:color w:val="auto"/>
        </w:rPr>
        <w:t>”) shall have determined to exercise, on behalf of the Underwriters,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to purchase such shares of common stock granted to the Underwriters in Section 2 hereof. The Firm Shares and the Additional Shares are hereinafter collectively referred to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The shares of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firstLine="408"/>
        <w:spacing w:after="0" w:line="269" w:lineRule="auto"/>
        <w:rPr>
          <w:sz w:val="20"/>
          <w:szCs w:val="20"/>
          <w:color w:val="auto"/>
        </w:rPr>
      </w:pPr>
      <w:r>
        <w:rPr>
          <w:rFonts w:ascii="Times New Roman" w:cs="Times New Roman" w:eastAsia="Times New Roman" w:hAnsi="Times New Roman"/>
          <w:sz w:val="16"/>
          <w:szCs w:val="16"/>
          <w:color w:val="auto"/>
        </w:rPr>
        <w:t>The Company has filed with the Securities and Exchange Commission (the “</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an automatic shelf registration statement on Form S-3 (File No. 333-296469), including a base prospectus dated June 3, 2026, (the “</w:t>
      </w:r>
      <w:r>
        <w:rPr>
          <w:rFonts w:ascii="Times New Roman" w:cs="Times New Roman" w:eastAsia="Times New Roman" w:hAnsi="Times New Roman"/>
          <w:sz w:val="16"/>
          <w:szCs w:val="16"/>
          <w:b w:val="1"/>
          <w:bCs w:val="1"/>
          <w:color w:val="auto"/>
        </w:rPr>
        <w:t>Base Prospectus</w:t>
      </w:r>
      <w:r>
        <w:rPr>
          <w:rFonts w:ascii="Times New Roman" w:cs="Times New Roman" w:eastAsia="Times New Roman" w:hAnsi="Times New Roman"/>
          <w:sz w:val="16"/>
          <w:szCs w:val="16"/>
          <w:color w:val="auto"/>
        </w:rPr>
        <w:t>”), covering the offering and sale of certain securities, including the Shares, which automatic shelf registration statement became effective under Rule 462(e)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The registration statement as amended as of the date of this Agreement, including the information (if any) deemed to be part of the registration statement at the time of effectiveness pursuant to Rule 430A under the Securities Act, is hereinafter referred to as the “</w:t>
      </w:r>
      <w:r>
        <w:rPr>
          <w:rFonts w:ascii="Times New Roman" w:cs="Times New Roman" w:eastAsia="Times New Roman" w:hAnsi="Times New Roman"/>
          <w:sz w:val="16"/>
          <w:szCs w:val="16"/>
          <w:b w:val="1"/>
          <w:bCs w:val="1"/>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Statement</w:t>
      </w:r>
      <w:r>
        <w:rPr>
          <w:rFonts w:ascii="Times New Roman" w:cs="Times New Roman" w:eastAsia="Times New Roman" w:hAnsi="Times New Roman"/>
          <w:sz w:val="16"/>
          <w:szCs w:val="16"/>
          <w:color w:val="auto"/>
        </w:rPr>
        <w:t>”; the prospectus, in the form first used to confirm sales of the Shares (or in the form first made available to the Underwriters by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meet requests of purchasers pursuant to Rule 173 under the Securities Act), is hereinafter referred to as the “</w:t>
      </w: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right="100" w:firstLine="408"/>
        <w:spacing w:after="0" w:line="256" w:lineRule="auto"/>
        <w:rPr>
          <w:sz w:val="20"/>
          <w:szCs w:val="20"/>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b w:val="1"/>
          <w:bCs w:val="1"/>
          <w:color w:val="auto"/>
        </w:rPr>
        <w:t>free writing prospectus</w:t>
      </w:r>
      <w:r>
        <w:rPr>
          <w:rFonts w:ascii="Times New Roman" w:cs="Times New Roman" w:eastAsia="Times New Roman" w:hAnsi="Times New Roman"/>
          <w:sz w:val="17"/>
          <w:szCs w:val="17"/>
          <w:color w:val="auto"/>
        </w:rPr>
        <w:t>” has the meaning set forth in Rule 405 under the Securities Act, “preliminary prospectus”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Times New Roman" w:cs="Times New Roman" w:eastAsia="Times New Roman" w:hAnsi="Times New Roman"/>
          <w:sz w:val="17"/>
          <w:szCs w:val="17"/>
          <w:b w:val="1"/>
          <w:bCs w:val="1"/>
          <w:color w:val="auto"/>
        </w:rPr>
        <w:t>Time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 Sale Prospectus</w:t>
      </w:r>
      <w:r>
        <w:rPr>
          <w:rFonts w:ascii="Times New Roman" w:cs="Times New Roman" w:eastAsia="Times New Roman" w:hAnsi="Times New Roman"/>
          <w:sz w:val="17"/>
          <w:szCs w:val="17"/>
          <w:color w:val="auto"/>
        </w:rPr>
        <w:t>” means the preliminary prospectus contained in</w:t>
      </w:r>
    </w:p>
    <w:p>
      <w:pPr>
        <w:sectPr>
          <w:pgSz w:w="11900" w:h="16838" w:orient="portrait"/>
          <w:cols w:equalWidth="0" w:num="1">
            <w:col w:w="10200"/>
          </w:cols>
          <w:pgMar w:left="840" w:top="261" w:right="8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the Registration Statement at the time of its effectiveness together with the documents and pricing information set forth in Schedule II hereto, and</w:t>
      </w:r>
    </w:p>
    <w:p>
      <w:pPr>
        <w:spacing w:after="0" w:line="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broadly available road show</w:t>
      </w:r>
      <w:r>
        <w:rPr>
          <w:rFonts w:ascii="Times New Roman" w:cs="Times New Roman" w:eastAsia="Times New Roman" w:hAnsi="Times New Roman"/>
          <w:sz w:val="17"/>
          <w:szCs w:val="17"/>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 The terms “</w:t>
      </w:r>
      <w:r>
        <w:rPr>
          <w:rFonts w:ascii="Times New Roman" w:cs="Times New Roman" w:eastAsia="Times New Roman" w:hAnsi="Times New Roman"/>
          <w:sz w:val="17"/>
          <w:szCs w:val="17"/>
          <w:b w:val="1"/>
          <w:bCs w:val="1"/>
          <w:color w:val="auto"/>
        </w:rPr>
        <w:t>supplement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amend</w:t>
      </w:r>
      <w:r>
        <w:rPr>
          <w:rFonts w:ascii="Times New Roman" w:cs="Times New Roman" w:eastAsia="Times New Roman" w:hAnsi="Times New Roman"/>
          <w:sz w:val="17"/>
          <w:szCs w:val="17"/>
          <w:color w:val="auto"/>
        </w:rPr>
        <w:t>” as used herein with respect to the Registration Statement, the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7"/>
          <w:szCs w:val="17"/>
          <w:b w:val="1"/>
          <w:bCs w:val="1"/>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that are deemed to be incorporated by reference therein.</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 The Company represents and warrants to and agrees with each of the Underwriters that:</w:t>
      </w:r>
    </w:p>
    <w:p>
      <w:pPr>
        <w:spacing w:after="0" w:line="109" w:lineRule="exact"/>
        <w:rPr>
          <w:sz w:val="20"/>
          <w:szCs w:val="20"/>
          <w:color w:val="auto"/>
        </w:rPr>
      </w:pPr>
    </w:p>
    <w:p>
      <w:pPr>
        <w:ind w:right="420" w:firstLine="408"/>
        <w:spacing w:after="0" w:line="271" w:lineRule="auto"/>
        <w:tabs>
          <w:tab w:leader="none" w:pos="6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 “well known seasoned issuer” (as defined in Rule 405) and meets the requirements for use of Form S-3ASR under the Securities Act.</w:t>
      </w:r>
    </w:p>
    <w:p>
      <w:pPr>
        <w:spacing w:after="0" w:line="58" w:lineRule="exact"/>
        <w:rPr>
          <w:rFonts w:ascii="Times New Roman" w:cs="Times New Roman" w:eastAsia="Times New Roman" w:hAnsi="Times New Roman"/>
          <w:sz w:val="17"/>
          <w:szCs w:val="17"/>
          <w:color w:val="auto"/>
        </w:rPr>
      </w:pPr>
    </w:p>
    <w:p>
      <w:pPr>
        <w:jc w:val="both"/>
        <w:ind w:right="100" w:firstLine="408"/>
        <w:spacing w:after="0" w:line="258" w:lineRule="auto"/>
        <w:tabs>
          <w:tab w:leader="none" w:pos="6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70" w:lineRule="exact"/>
        <w:rPr>
          <w:rFonts w:ascii="Times New Roman" w:cs="Times New Roman" w:eastAsia="Times New Roman" w:hAnsi="Times New Roman"/>
          <w:sz w:val="17"/>
          <w:szCs w:val="17"/>
          <w:color w:val="auto"/>
        </w:rPr>
      </w:pPr>
    </w:p>
    <w:p>
      <w:pPr>
        <w:ind w:right="40" w:firstLine="408"/>
        <w:spacing w:after="0" w:line="247" w:lineRule="auto"/>
        <w:tabs>
          <w:tab w:leader="none" w:pos="6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200"/>
          </w:cols>
          <w:pgMar w:left="840" w:top="261" w:right="859" w:bottom="1440" w:gutter="0" w:footer="0" w:header="0"/>
        </w:sectPr>
      </w:pPr>
    </w:p>
    <w:bookmarkStart w:id="7" w:name="page8"/>
    <w:bookmarkEnd w:id="7"/>
    <w:p>
      <w:pPr>
        <w:jc w:val="both"/>
        <w:ind w:right="300"/>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Morgan Stanley expressly for use therein.</w:t>
      </w:r>
    </w:p>
    <w:p>
      <w:pPr>
        <w:spacing w:after="0" w:line="70" w:lineRule="exact"/>
        <w:rPr>
          <w:sz w:val="20"/>
          <w:szCs w:val="20"/>
          <w:color w:val="auto"/>
        </w:rPr>
      </w:pPr>
    </w:p>
    <w:p>
      <w:pPr>
        <w:ind w:right="20" w:firstLine="408"/>
        <w:spacing w:after="0" w:line="249" w:lineRule="auto"/>
        <w:tabs>
          <w:tab w:leader="none" w:pos="6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Morgan Stanley before first use, the Company has not prepared, used or referred to, and will not, without Morgan Stanley’s prior consent, prepare, use or refer to, any free writing prospectus.</w:t>
      </w:r>
    </w:p>
    <w:p>
      <w:pPr>
        <w:spacing w:after="0" w:line="79" w:lineRule="exact"/>
        <w:rPr>
          <w:rFonts w:ascii="Times New Roman" w:cs="Times New Roman" w:eastAsia="Times New Roman" w:hAnsi="Times New Roman"/>
          <w:sz w:val="17"/>
          <w:szCs w:val="17"/>
          <w:color w:val="auto"/>
        </w:rPr>
      </w:pPr>
    </w:p>
    <w:p>
      <w:pPr>
        <w:ind w:firstLine="408"/>
        <w:spacing w:after="0" w:line="271" w:lineRule="auto"/>
        <w:tabs>
          <w:tab w:leader="none" w:pos="63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w:t>
      </w:r>
    </w:p>
    <w:p>
      <w:pPr>
        <w:spacing w:after="0" w:line="62" w:lineRule="exact"/>
        <w:rPr>
          <w:rFonts w:ascii="Times New Roman" w:cs="Times New Roman" w:eastAsia="Times New Roman" w:hAnsi="Times New Roman"/>
          <w:sz w:val="16"/>
          <w:szCs w:val="16"/>
          <w:color w:val="auto"/>
        </w:rPr>
      </w:pPr>
    </w:p>
    <w:p>
      <w:pPr>
        <w:ind w:right="40" w:firstLine="408"/>
        <w:spacing w:after="0" w:line="24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79" w:lineRule="exact"/>
        <w:rPr>
          <w:rFonts w:ascii="Times New Roman" w:cs="Times New Roman" w:eastAsia="Times New Roman" w:hAnsi="Times New Roman"/>
          <w:sz w:val="17"/>
          <w:szCs w:val="17"/>
          <w:color w:val="auto"/>
        </w:rPr>
      </w:pPr>
    </w:p>
    <w:p>
      <w:pPr>
        <w:ind w:left="640" w:hanging="232"/>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has been duly authorized, executed and delivered by the Company.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180"/>
          </w:cols>
          <w:pgMar w:left="840" w:top="261" w:right="879" w:bottom="1440" w:gutter="0" w:footer="0" w:header="0"/>
        </w:sectPr>
      </w:pPr>
    </w:p>
    <w:bookmarkStart w:id="8" w:name="page9"/>
    <w:bookmarkEnd w:id="8"/>
    <w:p>
      <w:pPr>
        <w:ind w:left="-40" w:right="380" w:firstLine="408"/>
        <w:spacing w:after="0" w:line="271" w:lineRule="auto"/>
        <w:tabs>
          <w:tab w:leader="none" w:pos="6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The authorized capital stock of the Company conforms as to legal matters to the description thereof contained in each of the Registration Statement, the Time of Sale Prospectus and the Prospectus.</w:t>
      </w:r>
    </w:p>
    <w:p>
      <w:pPr>
        <w:spacing w:after="0" w:line="58" w:lineRule="exact"/>
        <w:rPr>
          <w:rFonts w:ascii="Times New Roman" w:cs="Times New Roman" w:eastAsia="Times New Roman" w:hAnsi="Times New Roman"/>
          <w:sz w:val="17"/>
          <w:szCs w:val="17"/>
          <w:color w:val="auto"/>
        </w:rPr>
      </w:pPr>
    </w:p>
    <w:p>
      <w:pPr>
        <w:ind w:left="-40" w:right="160" w:firstLine="408"/>
        <w:spacing w:after="0" w:line="271" w:lineRule="auto"/>
        <w:tabs>
          <w:tab w:leader="none" w:pos="56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Common Stock outstanding prior to the issuance of the Shares have been duly authorized and are validly issued, fully paid and non-assessable.</w:t>
      </w:r>
    </w:p>
    <w:p>
      <w:pPr>
        <w:spacing w:after="0" w:line="58" w:lineRule="exact"/>
        <w:rPr>
          <w:rFonts w:ascii="Times New Roman" w:cs="Times New Roman" w:eastAsia="Times New Roman" w:hAnsi="Times New Roman"/>
          <w:sz w:val="17"/>
          <w:szCs w:val="17"/>
          <w:color w:val="auto"/>
        </w:rPr>
      </w:pPr>
    </w:p>
    <w:p>
      <w:pPr>
        <w:ind w:left="-40" w:right="20" w:firstLine="408"/>
        <w:spacing w:after="0" w:line="271" w:lineRule="auto"/>
        <w:tabs>
          <w:tab w:leader="none" w:pos="56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w:t>
      </w:r>
    </w:p>
    <w:p>
      <w:pPr>
        <w:spacing w:after="0" w:line="58" w:lineRule="exact"/>
        <w:rPr>
          <w:rFonts w:ascii="Times New Roman" w:cs="Times New Roman" w:eastAsia="Times New Roman" w:hAnsi="Times New Roman"/>
          <w:sz w:val="17"/>
          <w:szCs w:val="17"/>
          <w:color w:val="auto"/>
        </w:rPr>
      </w:pPr>
    </w:p>
    <w:p>
      <w:pPr>
        <w:ind w:left="-40" w:right="60" w:firstLine="408"/>
        <w:spacing w:after="0" w:line="249" w:lineRule="auto"/>
        <w:tabs>
          <w:tab w:leader="none" w:pos="6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the Company of, and the performance by the Company of its obligations under, this Agreement will not contravene any provision of (i) applicable law, (ii) the certificate of incorporation or by-laws of the Company or (iii) any agreement or other instrument binding upon the Company or any of its subsidiaries that is material to the Company and its subsidiaries, taken as a whole, or (iv) any material judgment, order or decree of any governmental body, agency or court having jurisdiction over the Company or any subsidiary except in this case of clauses (i), (iii) and (iv), where such contravention would not, individually or in the aggregate, reasonably be expected to have a material adverse effect on the Company, and no consent, approval, authorization or order of, or qualification with, any governmental body, agency or court is required for the performance by the Company of its obligations under this Agreement, except (i) such as have been obtained or made under the Securities Act, (ii) such as may be required by the securities or Blue Sky laws of the various states in connection with the offer and sale of the Shares, or (iii) such as may be required by Nasdaq Stock Market.</w:t>
      </w:r>
    </w:p>
    <w:p>
      <w:pPr>
        <w:spacing w:after="0" w:line="76" w:lineRule="exact"/>
        <w:rPr>
          <w:rFonts w:ascii="Times New Roman" w:cs="Times New Roman" w:eastAsia="Times New Roman" w:hAnsi="Times New Roman"/>
          <w:sz w:val="17"/>
          <w:szCs w:val="17"/>
          <w:color w:val="auto"/>
        </w:rPr>
      </w:pPr>
    </w:p>
    <w:p>
      <w:pPr>
        <w:ind w:left="-40" w:firstLine="408"/>
        <w:spacing w:after="0" w:line="258" w:lineRule="auto"/>
        <w:tabs>
          <w:tab w:leader="none" w:pos="56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0" w:lineRule="exact"/>
        <w:rPr>
          <w:rFonts w:ascii="Times New Roman" w:cs="Times New Roman" w:eastAsia="Times New Roman" w:hAnsi="Times New Roman"/>
          <w:sz w:val="17"/>
          <w:szCs w:val="17"/>
          <w:color w:val="auto"/>
        </w:rPr>
      </w:pPr>
    </w:p>
    <w:p>
      <w:pPr>
        <w:ind w:left="-40" w:right="40" w:firstLine="408"/>
        <w:spacing w:after="0" w:line="249" w:lineRule="auto"/>
        <w:tabs>
          <w:tab w:leader="none" w:pos="65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that are required to be described in the Registration Statement, the Time of Sale Prospectus or the Prospectus or to be filed as exhibits to the Registration Statement that are not described or filed as required.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120"/>
          </w:cols>
          <w:pgMar w:left="880" w:top="261" w:right="899" w:bottom="1440" w:gutter="0" w:footer="0" w:header="0"/>
        </w:sectPr>
      </w:pPr>
    </w:p>
    <w:bookmarkStart w:id="9" w:name="page10"/>
    <w:bookmarkEnd w:id="9"/>
    <w:p>
      <w:pPr>
        <w:ind w:right="500" w:firstLine="408"/>
        <w:spacing w:after="0" w:line="258" w:lineRule="auto"/>
        <w:tabs>
          <w:tab w:leader="none" w:pos="6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36830"/>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0" w:lineRule="exact"/>
        <w:rPr>
          <w:rFonts w:ascii="Times New Roman" w:cs="Times New Roman" w:eastAsia="Times New Roman" w:hAnsi="Times New Roman"/>
          <w:sz w:val="17"/>
          <w:szCs w:val="17"/>
          <w:color w:val="auto"/>
        </w:rPr>
      </w:pPr>
    </w:p>
    <w:p>
      <w:pPr>
        <w:ind w:right="80" w:firstLine="408"/>
        <w:spacing w:after="0" w:line="258" w:lineRule="auto"/>
        <w:tabs>
          <w:tab w:leader="none" w:pos="6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70" w:lineRule="exact"/>
        <w:rPr>
          <w:rFonts w:ascii="Times New Roman" w:cs="Times New Roman" w:eastAsia="Times New Roman" w:hAnsi="Times New Roman"/>
          <w:sz w:val="17"/>
          <w:szCs w:val="17"/>
          <w:color w:val="auto"/>
        </w:rPr>
      </w:pPr>
    </w:p>
    <w:p>
      <w:pPr>
        <w:ind w:right="20" w:firstLine="408"/>
        <w:spacing w:after="0" w:line="250" w:lineRule="auto"/>
        <w:tabs>
          <w:tab w:leader="none" w:pos="6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on the Company and its subsidiaries, taken as a whole.</w:t>
      </w:r>
    </w:p>
    <w:p>
      <w:pPr>
        <w:spacing w:after="0" w:line="75" w:lineRule="exact"/>
        <w:rPr>
          <w:rFonts w:ascii="Times New Roman" w:cs="Times New Roman" w:eastAsia="Times New Roman" w:hAnsi="Times New Roman"/>
          <w:sz w:val="17"/>
          <w:szCs w:val="17"/>
          <w:color w:val="auto"/>
        </w:rPr>
      </w:pPr>
    </w:p>
    <w:p>
      <w:pPr>
        <w:ind w:right="100" w:firstLine="408"/>
        <w:spacing w:after="0" w:line="254" w:lineRule="auto"/>
        <w:tabs>
          <w:tab w:leader="none" w:pos="6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 on the Company and its subsidiaries, taken as a whole.</w:t>
      </w:r>
    </w:p>
    <w:p>
      <w:pPr>
        <w:spacing w:after="0" w:line="73" w:lineRule="exact"/>
        <w:rPr>
          <w:rFonts w:ascii="Times New Roman" w:cs="Times New Roman" w:eastAsia="Times New Roman" w:hAnsi="Times New Roman"/>
          <w:sz w:val="17"/>
          <w:szCs w:val="17"/>
          <w:color w:val="auto"/>
        </w:rPr>
      </w:pPr>
    </w:p>
    <w:p>
      <w:pPr>
        <w:ind w:firstLine="408"/>
        <w:spacing w:after="0" w:line="25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have been validly waived or complied with in connection with the issuance and sale of the Shares contemplated hereby.</w:t>
      </w:r>
    </w:p>
    <w:p>
      <w:pPr>
        <w:spacing w:after="0" w:line="73" w:lineRule="exact"/>
        <w:rPr>
          <w:rFonts w:ascii="Times New Roman" w:cs="Times New Roman" w:eastAsia="Times New Roman" w:hAnsi="Times New Roman"/>
          <w:sz w:val="17"/>
          <w:szCs w:val="17"/>
          <w:color w:val="auto"/>
        </w:rPr>
      </w:pPr>
    </w:p>
    <w:p>
      <w:pPr>
        <w:ind w:right="20" w:firstLine="408"/>
        <w:spacing w:after="0" w:line="250" w:lineRule="auto"/>
        <w:tabs>
          <w:tab w:leader="none" w:pos="62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or controlled affiliates, nor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person to improperly influence official action by that person for the benefit of the Company or its subsidiaries or affiliates, or to otherwise secure any improper advantage, or to any person in violation of (a) the U.S. Foreign Corrupt Practices Act of 1977, (b) the UK Bribery Act 2010, or (c) any other applicable law, regulation, order, decree or directive having the force of law and relating to bribery or corruption (collectively, the “</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200"/>
          </w:cols>
          <w:pgMar w:left="840" w:top="261" w:right="859" w:bottom="1440" w:gutter="0" w:footer="0" w:header="0"/>
        </w:sectPr>
      </w:pPr>
    </w:p>
    <w:bookmarkStart w:id="10" w:name="page11"/>
    <w:bookmarkEnd w:id="10"/>
    <w:p>
      <w:pPr>
        <w:ind w:right="60" w:firstLine="408"/>
        <w:spacing w:after="0" w:line="254" w:lineRule="auto"/>
        <w:tabs>
          <w:tab w:leader="none" w:pos="60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The operations of the Company and each of its subsidiaries are and have been conducted at all times in material compliance with all applicable anti-money laundering laws, rules, and regulations, including the financial recordkeeping and reporting requirements contained therein, and including the Bank Secrecy Act of 1970, applicable provisions of the USA PATRIOT Act of 2001, the Money Laundering Control Act of 1986, and the Anti-Money Laundering Act of 2020 (collectively, the “</w:t>
      </w:r>
      <w:r>
        <w:rPr>
          <w:rFonts w:ascii="Times New Roman" w:cs="Times New Roman" w:eastAsia="Times New Roman" w:hAnsi="Times New Roman"/>
          <w:sz w:val="17"/>
          <w:szCs w:val="17"/>
          <w:b w:val="1"/>
          <w:bCs w:val="1"/>
          <w:color w:val="auto"/>
        </w:rPr>
        <w:t>Anti-Money Laundering Laws</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jc w:val="both"/>
        <w:ind w:right="320" w:firstLine="408"/>
        <w:spacing w:after="0" w:line="258" w:lineRule="auto"/>
        <w:tabs>
          <w:tab w:leader="none" w:pos="6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that is, or is owned or controlled by one or more Persons that are:</w:t>
      </w:r>
    </w:p>
    <w:p>
      <w:pPr>
        <w:spacing w:after="0" w:line="82" w:lineRule="exact"/>
        <w:rPr>
          <w:rFonts w:ascii="Times New Roman" w:cs="Times New Roman" w:eastAsia="Times New Roman" w:hAnsi="Times New Roman"/>
          <w:sz w:val="17"/>
          <w:szCs w:val="17"/>
          <w:color w:val="auto"/>
        </w:rPr>
      </w:pPr>
    </w:p>
    <w:p>
      <w:pPr>
        <w:ind w:left="1320" w:hanging="407"/>
        <w:spacing w:after="0" w:line="249" w:lineRule="auto"/>
        <w:tabs>
          <w:tab w:leader="none" w:pos="13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subject of any sanctions administered or enforced by the United States Government (including the U.S. Department of the Treasury’s Office of Foreign Assets Control and the U.S. Department of State), the United Nations Security Council, the European Union, His Majesty’s Treasury, or any other relevant sanctions authority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Export Controls</w:t>
      </w:r>
      <w:r>
        <w:rPr>
          <w:rFonts w:ascii="Times New Roman" w:cs="Times New Roman" w:eastAsia="Times New Roman" w:hAnsi="Times New Roman"/>
          <w:sz w:val="17"/>
          <w:szCs w:val="17"/>
          <w:color w:val="auto"/>
        </w:rPr>
        <w:t>” (meaning all export control laws and regulations administered or enforced by (a) the United States Government (including by the U.S. Department of Commerce or the U.S. Department of State), including the Arms Export Control Act (22 U.S.C. § 2778), the Export Control Reform Act of 2018 (50 U.S.C. §§ 4801-4861), the International Traffic in Arms Regulations (22 C.F.R. Parts 120–130), and the Export Administration Regulations (15 C.F.R. Parts 730-774), and (b) any other relevant governmental authority, including (to the extent applicable) EU Regulation 2021/821 (as amended), the Export Control Order 2008, or any other applicable export control legislation or regulation), or</w:t>
      </w:r>
    </w:p>
    <w:p>
      <w:pPr>
        <w:spacing w:after="0" w:line="88" w:lineRule="exact"/>
        <w:rPr>
          <w:rFonts w:ascii="Times New Roman" w:cs="Times New Roman" w:eastAsia="Times New Roman" w:hAnsi="Times New Roman"/>
          <w:sz w:val="17"/>
          <w:szCs w:val="17"/>
          <w:color w:val="auto"/>
        </w:rPr>
      </w:pPr>
    </w:p>
    <w:p>
      <w:pPr>
        <w:ind w:left="1320" w:right="200" w:hanging="407"/>
        <w:spacing w:after="0" w:line="258" w:lineRule="auto"/>
        <w:tabs>
          <w:tab w:leader="none" w:pos="13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located, organized or resident in a country or territory that is the subject of comprehensive territorial Sanctions (including, without limitation, the so-called Donetsk People’s Republic, the so-called Luhansk People’s Republic, or any other Covered Region of Ukraine identified pursuant to Executive Order 14065, Crimea, Cuba, Iran, and North Korea).</w:t>
      </w:r>
    </w:p>
    <w:p>
      <w:pPr>
        <w:spacing w:after="0" w:line="70" w:lineRule="exact"/>
        <w:rPr>
          <w:rFonts w:ascii="Times New Roman" w:cs="Times New Roman" w:eastAsia="Times New Roman" w:hAnsi="Times New Roman"/>
          <w:sz w:val="17"/>
          <w:szCs w:val="17"/>
          <w:color w:val="auto"/>
        </w:rPr>
      </w:pPr>
    </w:p>
    <w:p>
      <w:pPr>
        <w:ind w:left="1920" w:hanging="238"/>
        <w:spacing w:after="0"/>
        <w:tabs>
          <w:tab w:leader="none" w:pos="1920" w:val="left"/>
        </w:tabs>
        <w:numPr>
          <w:ilvl w:val="3"/>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(a) have not, since April 24, 2019, engaged in, (b) are not now engaged in, and</w:t>
      </w:r>
    </w:p>
    <w:p>
      <w:pPr>
        <w:spacing w:after="0" w:line="21" w:lineRule="exact"/>
        <w:rPr>
          <w:rFonts w:ascii="Times New Roman" w:cs="Times New Roman" w:eastAsia="Times New Roman" w:hAnsi="Times New Roman"/>
          <w:sz w:val="17"/>
          <w:szCs w:val="17"/>
          <w:color w:val="auto"/>
        </w:rPr>
      </w:pPr>
    </w:p>
    <w:p>
      <w:pPr>
        <w:ind w:left="1320" w:right="180" w:firstLine="7"/>
        <w:spacing w:after="0" w:line="251" w:lineRule="auto"/>
        <w:tabs>
          <w:tab w:leader="none" w:pos="1547"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not engage in, any dealings or transactions with any Person, or in any country or territory, that at the time of the dealing or transaction is or was, or whose government is or was, the subject of Sanctions or Export Controls.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200"/>
          </w:cols>
          <w:pgMar w:left="840" w:top="261" w:right="859" w:bottom="1440" w:gutter="0" w:footer="0" w:header="0"/>
        </w:sectPr>
      </w:pPr>
    </w:p>
    <w:bookmarkStart w:id="11" w:name="page12"/>
    <w:bookmarkEnd w:id="11"/>
    <w:p>
      <w:pPr>
        <w:ind w:left="1" w:firstLine="408"/>
        <w:spacing w:after="0" w:line="271" w:lineRule="auto"/>
        <w:tabs>
          <w:tab w:leader="none" w:pos="645"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The Company will not, directly or indirectly, use the proceeds of the offering, or lend, contribute or otherwise make available such proceeds to any subsidiary, joint venture partner or other Person:</w:t>
      </w:r>
    </w:p>
    <w:p>
      <w:pPr>
        <w:spacing w:after="0" w:line="58" w:lineRule="exact"/>
        <w:rPr>
          <w:rFonts w:ascii="Times New Roman" w:cs="Times New Roman" w:eastAsia="Times New Roman" w:hAnsi="Times New Roman"/>
          <w:sz w:val="17"/>
          <w:szCs w:val="17"/>
          <w:color w:val="auto"/>
        </w:rPr>
      </w:pPr>
    </w:p>
    <w:p>
      <w:pPr>
        <w:ind w:left="401" w:right="380" w:firstLine="399"/>
        <w:spacing w:after="0" w:line="271" w:lineRule="auto"/>
        <w:tabs>
          <w:tab w:leader="none" w:pos="992"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fund or facilitate any activities or business of or with any Person or in any country or territory that, at the time of such funding or facilitation, is, or whose government is, the subject of Sanctions or Export Controls;</w:t>
      </w:r>
    </w:p>
    <w:p>
      <w:pPr>
        <w:spacing w:after="0" w:line="58" w:lineRule="exact"/>
        <w:rPr>
          <w:rFonts w:ascii="Times New Roman" w:cs="Times New Roman" w:eastAsia="Times New Roman" w:hAnsi="Times New Roman"/>
          <w:sz w:val="17"/>
          <w:szCs w:val="17"/>
          <w:color w:val="auto"/>
        </w:rPr>
      </w:pPr>
    </w:p>
    <w:p>
      <w:pPr>
        <w:ind w:left="1041" w:hanging="241"/>
        <w:spacing w:after="0"/>
        <w:tabs>
          <w:tab w:leader="none" w:pos="1041"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fund or facilitate any money laundering or terrorist financing activities; or</w:t>
      </w:r>
    </w:p>
    <w:p>
      <w:pPr>
        <w:spacing w:after="0" w:line="104" w:lineRule="exact"/>
        <w:rPr>
          <w:rFonts w:ascii="Times New Roman" w:cs="Times New Roman" w:eastAsia="Times New Roman" w:hAnsi="Times New Roman"/>
          <w:sz w:val="17"/>
          <w:szCs w:val="17"/>
          <w:color w:val="auto"/>
        </w:rPr>
      </w:pPr>
    </w:p>
    <w:p>
      <w:pPr>
        <w:ind w:left="401" w:right="20" w:firstLine="399"/>
        <w:spacing w:after="0" w:line="271" w:lineRule="auto"/>
        <w:tabs>
          <w:tab w:leader="none" w:pos="1084"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manner that would cause or result in a violation of any Anti-Corruption Laws, Anti-Money Laundering Laws, Sanctions or Export Controls by any Person (including any Person participating in the offering, whether as underwriter, advisor, investor or otherwise).</w:t>
      </w:r>
    </w:p>
    <w:p>
      <w:pPr>
        <w:spacing w:after="0" w:line="159" w:lineRule="exact"/>
        <w:rPr>
          <w:rFonts w:ascii="Times New Roman" w:cs="Times New Roman" w:eastAsia="Times New Roman" w:hAnsi="Times New Roman"/>
          <w:sz w:val="17"/>
          <w:szCs w:val="17"/>
          <w:color w:val="auto"/>
        </w:rPr>
      </w:pPr>
    </w:p>
    <w:p>
      <w:pPr>
        <w:ind w:left="1" w:firstLine="408"/>
        <w:spacing w:after="0" w:line="250" w:lineRule="auto"/>
        <w:tabs>
          <w:tab w:leader="none" w:pos="68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conducted and will conduct their businesses in compliance with the Anti-Corruption Laws, the Anti-Money Laundering Laws, Sanctions and Export Controls, and no investigation, inquiry, action, suit or proceeding by or before any court or governmental agency, authority or body or any arbitrator involving the Company or any of its subsidiaries with respect to the Anti-Corruption Laws, the Anti-Money Laundering Laws, Sanctions or Export Controls is pending or, to the knowledge of the Company, threatened. The Company and its subsidiaries and affiliates have instituted and maintained and will continue to maintain policies and procedures reasonably designed to promote and achieve compliance with the Anti-Corruption Laws, the Anti-Money Laundering Laws, Sanctions, Export Controls, and with the representations and warranties contained herein.</w:t>
      </w:r>
    </w:p>
    <w:p>
      <w:pPr>
        <w:spacing w:after="0" w:line="176" w:lineRule="exact"/>
        <w:rPr>
          <w:rFonts w:ascii="Times New Roman" w:cs="Times New Roman" w:eastAsia="Times New Roman" w:hAnsi="Times New Roman"/>
          <w:sz w:val="17"/>
          <w:szCs w:val="17"/>
          <w:color w:val="auto"/>
        </w:rPr>
      </w:pPr>
    </w:p>
    <w:p>
      <w:pPr>
        <w:ind w:left="1" w:right="40" w:firstLine="408"/>
        <w:spacing w:after="0" w:line="263" w:lineRule="auto"/>
        <w:tabs>
          <w:tab w:leader="none" w:pos="645"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Company and its subsidiaries own or have a valid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6"/>
          <w:szCs w:val="16"/>
          <w:b w:val="1"/>
          <w:bCs w:val="1"/>
          <w:color w:val="auto"/>
        </w:rPr>
        <w:t>Intellectual Property Rights</w:t>
      </w:r>
      <w:r>
        <w:rPr>
          <w:rFonts w:ascii="Times New Roman" w:cs="Times New Roman" w:eastAsia="Times New Roman" w:hAnsi="Times New Roman"/>
          <w:sz w:val="16"/>
          <w:szCs w:val="16"/>
          <w:color w:val="auto"/>
        </w:rPr>
        <w:t>”) used in or reasonably necessary to the conduct of their businesses; (ii) the Intellectual Property Rights owned by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w:t>
      </w:r>
    </w:p>
    <w:p>
      <w:pPr>
        <w:spacing w:after="0" w:line="4" w:lineRule="exact"/>
        <w:rPr>
          <w:rFonts w:ascii="Times New Roman" w:cs="Times New Roman" w:eastAsia="Times New Roman" w:hAnsi="Times New Roman"/>
          <w:sz w:val="16"/>
          <w:szCs w:val="16"/>
          <w:color w:val="auto"/>
        </w:rPr>
      </w:pPr>
    </w:p>
    <w:p>
      <w:pPr>
        <w:ind w:left="1" w:right="180" w:hanging="1"/>
        <w:spacing w:after="0" w:line="248" w:lineRule="auto"/>
        <w:tabs>
          <w:tab w:leader="none" w:pos="28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no third party is infringing, misappropriating or otherwise violating, or has infringed, misappropriated or otherwise violated, any Intellectual Property Rights owned by the Company; (v) neither the Company nor any of its subsidiaries infringes, misappropriates or otherwise violates, or has infringed,</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161"/>
          </w:cols>
          <w:pgMar w:left="839" w:top="261" w:right="899" w:bottom="1440" w:gutter="0" w:footer="0" w:header="0"/>
        </w:sectPr>
      </w:pPr>
    </w:p>
    <w:bookmarkStart w:id="12" w:name="page13"/>
    <w:bookmarkEnd w:id="12"/>
    <w:p>
      <w:pPr>
        <w:ind w:left="1" w:right="20"/>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36830"/>
                    </a:xfrm>
                    <a:prstGeom prst="rect">
                      <a:avLst/>
                    </a:prstGeom>
                    <a:noFill/>
                  </pic:spPr>
                </pic:pic>
              </a:graphicData>
            </a:graphic>
          </wp:anchor>
        </w:drawing>
        <w:t>misappropriated or otherwise violated, any Intellectual Property Rights;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75" w:lineRule="exact"/>
        <w:rPr>
          <w:sz w:val="20"/>
          <w:szCs w:val="20"/>
          <w:color w:val="auto"/>
        </w:rPr>
      </w:pPr>
    </w:p>
    <w:p>
      <w:pPr>
        <w:ind w:left="1" w:firstLine="408"/>
        <w:spacing w:after="0" w:line="264" w:lineRule="auto"/>
        <w:tabs>
          <w:tab w:leader="none" w:pos="645"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6"/>
          <w:szCs w:val="16"/>
          <w:b w:val="1"/>
          <w:bCs w:val="1"/>
          <w:color w:val="auto"/>
        </w:rPr>
        <w:t>Open Source Software</w:t>
      </w:r>
      <w:r>
        <w:rPr>
          <w:rFonts w:ascii="Times New Roman" w:cs="Times New Roman" w:eastAsia="Times New Roman" w:hAnsi="Times New Roman"/>
          <w:sz w:val="16"/>
          <w:szCs w:val="16"/>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w:t>
      </w:r>
    </w:p>
    <w:p>
      <w:pPr>
        <w:spacing w:after="0" w:line="3" w:lineRule="exact"/>
        <w:rPr>
          <w:rFonts w:ascii="Times New Roman" w:cs="Times New Roman" w:eastAsia="Times New Roman" w:hAnsi="Times New Roman"/>
          <w:sz w:val="16"/>
          <w:szCs w:val="16"/>
          <w:color w:val="auto"/>
        </w:rPr>
      </w:pPr>
    </w:p>
    <w:p>
      <w:pPr>
        <w:ind w:left="241" w:hanging="241"/>
        <w:spacing w:after="0"/>
        <w:tabs>
          <w:tab w:leader="none" w:pos="24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or distributed in source code form, (2) licensed for the purpose of making derivative works or (3) redistributed at no charge.</w:t>
      </w:r>
    </w:p>
    <w:p>
      <w:pPr>
        <w:spacing w:after="0" w:line="188" w:lineRule="exact"/>
        <w:rPr>
          <w:rFonts w:ascii="Times New Roman" w:cs="Times New Roman" w:eastAsia="Times New Roman" w:hAnsi="Times New Roman"/>
          <w:sz w:val="17"/>
          <w:szCs w:val="17"/>
          <w:color w:val="auto"/>
        </w:rPr>
      </w:pPr>
    </w:p>
    <w:p>
      <w:pPr>
        <w:ind w:left="1" w:right="60" w:firstLine="408"/>
        <w:spacing w:after="0" w:line="249" w:lineRule="auto"/>
        <w:tabs>
          <w:tab w:leader="none" w:pos="63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and each of its subsidiaries have complied and are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7"/>
          <w:szCs w:val="17"/>
          <w:b w:val="1"/>
          <w:bCs w:val="1"/>
          <w:color w:val="auto"/>
        </w:rPr>
        <w:t>Data Security Obligations</w:t>
      </w:r>
      <w:r>
        <w:rPr>
          <w:rFonts w:ascii="Times New Roman" w:cs="Times New Roman" w:eastAsia="Times New Roman" w:hAnsi="Times New Roman"/>
          <w:sz w:val="17"/>
          <w:szCs w:val="17"/>
          <w:color w:val="auto"/>
        </w:rPr>
        <w:t>”, and such data, “</w:t>
      </w:r>
      <w:r>
        <w:rPr>
          <w:rFonts w:ascii="Times New Roman" w:cs="Times New Roman" w:eastAsia="Times New Roman" w:hAnsi="Times New Roman"/>
          <w:sz w:val="17"/>
          <w:szCs w:val="17"/>
          <w:b w:val="1"/>
          <w:bCs w:val="1"/>
          <w:color w:val="auto"/>
        </w:rPr>
        <w:t>Data</w:t>
      </w:r>
      <w:r>
        <w:rPr>
          <w:rFonts w:ascii="Times New Roman" w:cs="Times New Roman" w:eastAsia="Times New Roman" w:hAnsi="Times New Roman"/>
          <w:sz w:val="17"/>
          <w:szCs w:val="17"/>
          <w:color w:val="auto"/>
        </w:rPr>
        <w:t>”); (ii) the Company has not received any notification of or complaint regarding and is unaware of any other facts that, individually or in the aggregate, would reasonably indicate non-compliance with any Data Security Obligation; and (iii) of there is no action, suit or proceeding by or before any court or governmental agency, authority or body pending or threatened alleging non-compliance with any Data Security Obligation.</w:t>
      </w:r>
    </w:p>
    <w:p>
      <w:pPr>
        <w:spacing w:after="0" w:line="179" w:lineRule="exact"/>
        <w:rPr>
          <w:sz w:val="20"/>
          <w:szCs w:val="20"/>
          <w:color w:val="auto"/>
        </w:rPr>
      </w:pPr>
    </w:p>
    <w:p>
      <w:pPr>
        <w:ind w:left="1" w:right="60" w:firstLine="408"/>
        <w:spacing w:after="0" w:line="250" w:lineRule="auto"/>
        <w:tabs>
          <w:tab w:leader="none" w:pos="70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taken all technical and organizational measures necessary to protect the information technology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181"/>
          </w:cols>
          <w:pgMar w:left="839" w:top="261" w:right="879" w:bottom="1440" w:gutter="0" w:footer="0" w:header="0"/>
        </w:sectPr>
      </w:pPr>
    </w:p>
    <w:bookmarkStart w:id="13" w:name="page14"/>
    <w:bookmarkEnd w:id="13"/>
    <w:p>
      <w:pPr>
        <w:ind w:right="20"/>
        <w:spacing w:after="0" w:line="25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36830"/>
                    </a:xfrm>
                    <a:prstGeom prst="rect">
                      <a:avLst/>
                    </a:prstGeom>
                    <a:noFill/>
                  </pic:spPr>
                </pic:pic>
              </a:graphicData>
            </a:graphic>
          </wp:anchor>
        </w:drawing>
        <w:t>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7"/>
          <w:szCs w:val="17"/>
          <w:b w:val="1"/>
          <w:bCs w:val="1"/>
          <w:color w:val="auto"/>
        </w:rPr>
        <w:t>Breach</w:t>
      </w:r>
      <w:r>
        <w:rPr>
          <w:rFonts w:ascii="Times New Roman" w:cs="Times New Roman" w:eastAsia="Times New Roman" w:hAnsi="Times New Roman"/>
          <w:sz w:val="17"/>
          <w:szCs w:val="17"/>
          <w:color w:val="auto"/>
        </w:rPr>
        <w:t>”). There has been no such Breach, and the Company and its subsidiaries have not been notified of and have no knowledge of any event or condition that would reasonably be expected to result in, any such Breach.</w:t>
      </w:r>
    </w:p>
    <w:p>
      <w:pPr>
        <w:spacing w:after="0" w:line="173" w:lineRule="exact"/>
        <w:rPr>
          <w:sz w:val="20"/>
          <w:szCs w:val="20"/>
          <w:color w:val="auto"/>
        </w:rPr>
      </w:pPr>
    </w:p>
    <w:p>
      <w:pPr>
        <w:ind w:right="20" w:firstLine="408"/>
        <w:spacing w:after="0" w:line="249" w:lineRule="auto"/>
        <w:tabs>
          <w:tab w:leader="none" w:pos="72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have a material adverse effect on the Company and its subsidiaries, taken as a whole, or, except as currently being contested in good faith and for which reserves required by generally accepted accounting principles in the United States (“</w:t>
      </w:r>
      <w:r>
        <w:rPr>
          <w:rFonts w:ascii="Times New Roman" w:cs="Times New Roman" w:eastAsia="Times New Roman" w:hAnsi="Times New Roman"/>
          <w:sz w:val="17"/>
          <w:szCs w:val="17"/>
          <w:b w:val="1"/>
          <w:bCs w:val="1"/>
          <w:color w:val="auto"/>
        </w:rPr>
        <w:t>U.S. GAAP</w:t>
      </w:r>
      <w:r>
        <w:rPr>
          <w:rFonts w:ascii="Times New Roman" w:cs="Times New Roman" w:eastAsia="Times New Roman" w:hAnsi="Times New Roman"/>
          <w:sz w:val="17"/>
          <w:szCs w:val="17"/>
          <w:color w:val="auto"/>
        </w:rPr>
        <w:t>”) have been created in the financial statements of the Company), and no tax deficiency has been determined adversely to the Company or any of its subsidiaries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176" w:lineRule="exact"/>
        <w:rPr>
          <w:rFonts w:ascii="Times New Roman" w:cs="Times New Roman" w:eastAsia="Times New Roman" w:hAnsi="Times New Roman"/>
          <w:sz w:val="17"/>
          <w:szCs w:val="17"/>
          <w:color w:val="auto"/>
        </w:rPr>
      </w:pPr>
    </w:p>
    <w:p>
      <w:pPr>
        <w:ind w:right="40" w:firstLine="408"/>
        <w:spacing w:after="0" w:line="271" w:lineRule="auto"/>
        <w:tabs>
          <w:tab w:leader="none" w:pos="70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any securities rated by any “nationally recognized statistical rating organization,” as such term is defined in Section 3(a)(62) of the Exchange Act.</w:t>
      </w:r>
    </w:p>
    <w:p>
      <w:pPr>
        <w:spacing w:after="0" w:line="159" w:lineRule="exact"/>
        <w:rPr>
          <w:rFonts w:ascii="Times New Roman" w:cs="Times New Roman" w:eastAsia="Times New Roman" w:hAnsi="Times New Roman"/>
          <w:sz w:val="17"/>
          <w:szCs w:val="17"/>
          <w:color w:val="auto"/>
        </w:rPr>
      </w:pPr>
    </w:p>
    <w:p>
      <w:pPr>
        <w:ind w:firstLine="408"/>
        <w:spacing w:after="0" w:line="248" w:lineRule="auto"/>
        <w:tabs>
          <w:tab w:leader="none" w:pos="72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included or incorporated by reference in each of the Registration Statement, the Time of Sale Prospectus and the Prospectus, together with the related schedules and notes thereto, comply as to form in all material respects with the applicable accounting requirements of the Securities Act and present fairly the consolidated financial position of the Company and its subsidiaries as of the dates shown and its results of operations and cash flows for the periods shown, and such financial statements have been prepared in conformity with U.S. GAAP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200"/>
          </w:cols>
          <w:pgMar w:left="840" w:top="261" w:right="859" w:bottom="1440" w:gutter="0" w:footer="0" w:header="0"/>
        </w:sectPr>
      </w:pPr>
    </w:p>
    <w:bookmarkStart w:id="14" w:name="page15"/>
    <w:bookmarkEnd w:id="14"/>
    <w:p>
      <w:pPr>
        <w:ind w:left="1" w:right="120" w:firstLine="408"/>
        <w:spacing w:after="0" w:line="252" w:lineRule="auto"/>
        <w:tabs>
          <w:tab w:leader="none" w:pos="70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36830"/>
                    </a:xfrm>
                    <a:prstGeom prst="rect">
                      <a:avLst/>
                    </a:prstGeom>
                    <a:noFill/>
                  </pic:spPr>
                </pic:pic>
              </a:graphicData>
            </a:graphic>
          </wp:anchor>
        </w:drawing>
        <w:t>Deloitte &amp; Touche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74" w:lineRule="exact"/>
        <w:rPr>
          <w:rFonts w:ascii="Times New Roman" w:cs="Times New Roman" w:eastAsia="Times New Roman" w:hAnsi="Times New Roman"/>
          <w:sz w:val="17"/>
          <w:szCs w:val="17"/>
          <w:color w:val="auto"/>
        </w:rPr>
      </w:pPr>
    </w:p>
    <w:p>
      <w:pPr>
        <w:ind w:left="661" w:hanging="252"/>
        <w:spacing w:after="0"/>
        <w:tabs>
          <w:tab w:leader="none" w:pos="66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maintain a system of internal accounting controls sufficient to provide reasonable assurance that</w:t>
      </w:r>
    </w:p>
    <w:p>
      <w:pPr>
        <w:spacing w:after="0" w:line="21" w:lineRule="exact"/>
        <w:rPr>
          <w:rFonts w:ascii="Times New Roman" w:cs="Times New Roman" w:eastAsia="Times New Roman" w:hAnsi="Times New Roman"/>
          <w:sz w:val="17"/>
          <w:szCs w:val="17"/>
          <w:color w:val="auto"/>
        </w:rPr>
      </w:pPr>
    </w:p>
    <w:p>
      <w:pPr>
        <w:ind w:left="1" w:right="140" w:hanging="1"/>
        <w:spacing w:after="0" w:line="246" w:lineRule="auto"/>
        <w:tabs>
          <w:tab w:leader="none" w:pos="2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82" w:lineRule="exact"/>
        <w:rPr>
          <w:rFonts w:ascii="Times New Roman" w:cs="Times New Roman" w:eastAsia="Times New Roman" w:hAnsi="Times New Roman"/>
          <w:sz w:val="17"/>
          <w:szCs w:val="17"/>
          <w:color w:val="auto"/>
        </w:rPr>
      </w:pPr>
    </w:p>
    <w:p>
      <w:pPr>
        <w:ind w:left="1" w:right="160" w:firstLine="408"/>
        <w:spacing w:after="0" w:line="258" w:lineRule="auto"/>
        <w:tabs>
          <w:tab w:leader="none" w:pos="728"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0" w:lineRule="exact"/>
        <w:rPr>
          <w:rFonts w:ascii="Times New Roman" w:cs="Times New Roman" w:eastAsia="Times New Roman" w:hAnsi="Times New Roman"/>
          <w:sz w:val="17"/>
          <w:szCs w:val="17"/>
          <w:color w:val="auto"/>
        </w:rPr>
      </w:pPr>
    </w:p>
    <w:p>
      <w:pPr>
        <w:ind w:left="1" w:firstLine="408"/>
        <w:spacing w:after="0" w:line="249" w:lineRule="auto"/>
        <w:tabs>
          <w:tab w:leader="none" w:pos="728"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has not alone engaged in any Testing-the-Waters Communication with any person other than Testing-the-Waters Communications with the consent of Morgan Stanley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Morgan Stanley to engage in Testing-the-Waters Communications. The Company reconfirms that Morgan Stanley has been authorized to act on its behalf in undertaking Testing-the-Waters Communications. The Company has not distributed any Testing-the-Waters Communication that is a written communication within the meaning of Rule 405 under the Securities Act other than those listed on Schedule II hereto. “</w:t>
      </w:r>
      <w:r>
        <w:rPr>
          <w:rFonts w:ascii="Times New Roman" w:cs="Times New Roman" w:eastAsia="Times New Roman" w:hAnsi="Times New Roman"/>
          <w:sz w:val="17"/>
          <w:szCs w:val="17"/>
          <w:b w:val="1"/>
          <w:bCs w:val="1"/>
          <w:color w:val="auto"/>
        </w:rPr>
        <w:t>Testing-the-Waters Communication</w:t>
      </w:r>
      <w:r>
        <w:rPr>
          <w:rFonts w:ascii="Times New Roman" w:cs="Times New Roman" w:eastAsia="Times New Roman" w:hAnsi="Times New Roman"/>
          <w:sz w:val="17"/>
          <w:szCs w:val="17"/>
          <w:color w:val="auto"/>
        </w:rPr>
        <w:t>” means any communication with potential investors undertaken in reliance on Section 5(d) or Rule 163B of the Securities Act.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181"/>
          </w:cols>
          <w:pgMar w:left="839" w:top="261" w:right="879" w:bottom="1440" w:gutter="0" w:footer="0" w:header="0"/>
        </w:sectPr>
      </w:pPr>
    </w:p>
    <w:bookmarkStart w:id="15" w:name="page16"/>
    <w:bookmarkEnd w:id="15"/>
    <w:p>
      <w:pPr>
        <w:ind w:right="60" w:firstLine="408"/>
        <w:spacing w:after="0" w:line="252" w:lineRule="auto"/>
        <w:tabs>
          <w:tab w:leader="none" w:pos="65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36830"/>
                    </a:xfrm>
                    <a:prstGeom prst="rect">
                      <a:avLst/>
                    </a:prstGeom>
                    <a:noFill/>
                  </pic:spPr>
                </pic:pic>
              </a:graphicData>
            </a:graphic>
          </wp:anchor>
        </w:drawing>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71" w:lineRule="exact"/>
        <w:rPr>
          <w:sz w:val="20"/>
          <w:szCs w:val="20"/>
          <w:color w:val="auto"/>
        </w:rPr>
      </w:pPr>
    </w:p>
    <w:p>
      <w:pPr>
        <w:jc w:val="both"/>
        <w:ind w:right="100" w:firstLine="408"/>
        <w:spacing w:after="0" w:line="256" w:lineRule="auto"/>
        <w:tabs>
          <w:tab w:leader="none" w:pos="57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Agreements to Sell and Purchase. </w:t>
      </w:r>
      <w:r>
        <w:rPr>
          <w:rFonts w:ascii="Times New Roman" w:cs="Times New Roman" w:eastAsia="Times New Roman" w:hAnsi="Times New Roman"/>
          <w:sz w:val="17"/>
          <w:szCs w:val="17"/>
          <w:color w:val="auto"/>
        </w:rPr>
        <w:t>The Company hereby agrees to sell to the several Underwriters, and each Underwriter, upon the basis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representations and warranties herein contained, but subject to the terms and conditions hereinafter stated, agrees, severally and not jointly, to purchase from the Company the respective number of Firm Shares set forth in Schedule I hereto opposite its name at a purchase price of $21.1375 per share (the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firstLine="408"/>
        <w:spacing w:after="0" w:line="247" w:lineRule="auto"/>
        <w:rPr>
          <w:sz w:val="20"/>
          <w:szCs w:val="20"/>
          <w:color w:val="auto"/>
        </w:rPr>
      </w:pPr>
      <w:r>
        <w:rPr>
          <w:rFonts w:ascii="Times New Roman" w:cs="Times New Roman" w:eastAsia="Times New Roman" w:hAnsi="Times New Roman"/>
          <w:sz w:val="17"/>
          <w:szCs w:val="17"/>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674,157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Morgan Stanley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sales of shares in excess of the number of the Firm Shares. On each day, if any, that Additional Shares are to be purchased (an “</w:t>
      </w:r>
      <w:r>
        <w:rPr>
          <w:rFonts w:ascii="Times New Roman" w:cs="Times New Roman" w:eastAsia="Times New Roman" w:hAnsi="Times New Roman"/>
          <w:sz w:val="17"/>
          <w:szCs w:val="17"/>
          <w:b w:val="1"/>
          <w:bCs w:val="1"/>
          <w:color w:val="auto"/>
        </w:rPr>
        <w:t>Option Closing Date</w:t>
      </w:r>
      <w:r>
        <w:rPr>
          <w:rFonts w:ascii="Times New Roman" w:cs="Times New Roman" w:eastAsia="Times New Roman" w:hAnsi="Times New Roman"/>
          <w:sz w:val="17"/>
          <w:szCs w:val="17"/>
          <w:color w:val="auto"/>
        </w:rPr>
        <w:t>”), each Underwriter agrees, severally and not jointly, to purchase the number of Additional Shares (subject to such adjustments to eliminate fractional shares as Morgan Stanley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3" w:lineRule="exact"/>
        <w:rPr>
          <w:sz w:val="20"/>
          <w:szCs w:val="20"/>
          <w:color w:val="auto"/>
        </w:rPr>
      </w:pPr>
    </w:p>
    <w:p>
      <w:pPr>
        <w:ind w:left="580" w:hanging="172"/>
        <w:spacing w:after="0"/>
        <w:tabs>
          <w:tab w:leader="none" w:pos="5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Terms of Public Offering</w:t>
      </w:r>
      <w:r>
        <w:rPr>
          <w:rFonts w:ascii="Times New Roman" w:cs="Times New Roman" w:eastAsia="Times New Roman" w:hAnsi="Times New Roman"/>
          <w:sz w:val="17"/>
          <w:szCs w:val="17"/>
          <w:color w:val="auto"/>
        </w:rPr>
        <w:t>. The Company is advised by Morgan Stanley that the Underwriters propose to make a public offering of their</w:t>
      </w:r>
    </w:p>
    <w:p>
      <w:pPr>
        <w:spacing w:after="0" w:line="25" w:lineRule="exact"/>
        <w:rPr>
          <w:rFonts w:ascii="Times New Roman" w:cs="Times New Roman" w:eastAsia="Times New Roman" w:hAnsi="Times New Roman"/>
          <w:sz w:val="17"/>
          <w:szCs w:val="17"/>
          <w:color w:val="auto"/>
        </w:rPr>
      </w:pPr>
    </w:p>
    <w:p>
      <w:pPr>
        <w:ind w:right="2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respective portions of the Shares as soon after the Registration Statement and this Agreement have become effective as in Morgan Stanley’s judgment is advisable. The Company is further advised by Morgan Stanley that the Shares are to be offered to the public initially at $22.25 per share (the “</w:t>
      </w:r>
      <w:r>
        <w:rPr>
          <w:rFonts w:ascii="Times New Roman" w:cs="Times New Roman" w:eastAsia="Times New Roman" w:hAnsi="Times New Roman"/>
          <w:sz w:val="17"/>
          <w:szCs w:val="17"/>
          <w:b w:val="1"/>
          <w:bCs w:val="1"/>
          <w:color w:val="auto"/>
        </w:rPr>
        <w:t>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Offering Price</w:t>
      </w:r>
      <w:r>
        <w:rPr>
          <w:rFonts w:ascii="Times New Roman" w:cs="Times New Roman" w:eastAsia="Times New Roman" w:hAnsi="Times New Roman"/>
          <w:sz w:val="17"/>
          <w:szCs w:val="17"/>
          <w:color w:val="auto"/>
        </w:rPr>
        <w:t>”) and to certain dealers selected by Morgan Stanley at a price that represents a concession not in excess of $0.6675 per share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Public Offering Price.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180"/>
          </w:cols>
          <w:pgMar w:left="840" w:top="261" w:right="879" w:bottom="1440" w:gutter="0" w:footer="0" w:header="0"/>
        </w:sectPr>
      </w:pPr>
    </w:p>
    <w:bookmarkStart w:id="16" w:name="page17"/>
    <w:bookmarkEnd w:id="16"/>
    <w:p>
      <w:pPr>
        <w:ind w:right="240" w:firstLine="408"/>
        <w:spacing w:after="0" w:line="256" w:lineRule="auto"/>
        <w:tabs>
          <w:tab w:leader="none" w:pos="57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36830"/>
                    </a:xfrm>
                    <a:prstGeom prst="rect">
                      <a:avLst/>
                    </a:prstGeom>
                    <a:noFill/>
                  </pic:spPr>
                </pic:pic>
              </a:graphicData>
            </a:graphic>
          </wp:anchor>
        </w:drawing>
        <w:t xml:space="preserve">Payment and Delivery. </w:t>
      </w:r>
      <w:r>
        <w:rPr>
          <w:rFonts w:ascii="Times New Roman" w:cs="Times New Roman" w:eastAsia="Times New Roman" w:hAnsi="Times New Roman"/>
          <w:sz w:val="17"/>
          <w:szCs w:val="17"/>
          <w:color w:val="auto"/>
        </w:rPr>
        <w:t>Payment for the Firm Shares shall be made to the Company in Federal or other funds immediately available in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York City against delivery of such Firm Shares for the respective accounts of the several Underwriters at 10:00 a.m., New York City time, on June 5, 2026 or at such other time on the same or such other date, not later than June 12, 2026, as shall be designated in writing by Morgan Stanley. The time and date of such payment are hereinafter referred to as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80" w:firstLine="408"/>
        <w:spacing w:after="0" w:line="254" w:lineRule="auto"/>
        <w:rPr>
          <w:sz w:val="20"/>
          <w:szCs w:val="20"/>
          <w:color w:val="auto"/>
        </w:rPr>
      </w:pPr>
      <w:r>
        <w:rPr>
          <w:rFonts w:ascii="Times New Roman" w:cs="Times New Roman" w:eastAsia="Times New Roman" w:hAnsi="Times New Roman"/>
          <w:sz w:val="17"/>
          <w:szCs w:val="17"/>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July 3, 2026, as shall be designated in writing by Morgan Stanley.</w:t>
      </w:r>
    </w:p>
    <w:p>
      <w:pPr>
        <w:spacing w:after="0" w:line="173" w:lineRule="exact"/>
        <w:rPr>
          <w:sz w:val="20"/>
          <w:szCs w:val="20"/>
          <w:color w:val="auto"/>
        </w:rPr>
      </w:pPr>
    </w:p>
    <w:p>
      <w:pPr>
        <w:ind w:firstLine="408"/>
        <w:spacing w:after="0" w:line="252" w:lineRule="auto"/>
        <w:rPr>
          <w:sz w:val="20"/>
          <w:szCs w:val="20"/>
          <w:color w:val="auto"/>
        </w:rPr>
      </w:pPr>
      <w:r>
        <w:rPr>
          <w:rFonts w:ascii="Times New Roman" w:cs="Times New Roman" w:eastAsia="Times New Roman" w:hAnsi="Times New Roman"/>
          <w:sz w:val="17"/>
          <w:szCs w:val="17"/>
          <w:color w:val="auto"/>
        </w:rPr>
        <w:t>The Firm Shares and Additional Shares shall be registered in such names and in such denominations as Morgan Stanley shall request not later than one full business day prior to the Closing Date or the applicable Option Closing Date, as the case may be. The Firm Shares and Additional Shares shall be delivered to Morgan Stanley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71" w:lineRule="exact"/>
        <w:rPr>
          <w:sz w:val="20"/>
          <w:szCs w:val="20"/>
          <w:color w:val="auto"/>
        </w:rPr>
      </w:pPr>
    </w:p>
    <w:p>
      <w:pPr>
        <w:ind w:right="80" w:firstLine="408"/>
        <w:spacing w:after="0" w:line="276" w:lineRule="auto"/>
        <w:tabs>
          <w:tab w:leader="none" w:pos="57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Conditions to the Underwriters’ Obligations</w:t>
      </w:r>
      <w:r>
        <w:rPr>
          <w:rFonts w:ascii="Times New Roman" w:cs="Times New Roman" w:eastAsia="Times New Roman" w:hAnsi="Times New Roman"/>
          <w:sz w:val="17"/>
          <w:szCs w:val="17"/>
          <w:color w:val="auto"/>
        </w:rPr>
        <w:t>. The obligations of the Company to sell the Shares to the Underwriters and the several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Underwriters to purchase and pay for the Shares on the Closing Date are subject to the following conditions:</w:t>
      </w:r>
    </w:p>
    <w:p>
      <w:pPr>
        <w:spacing w:after="0" w:line="155" w:lineRule="exact"/>
        <w:rPr>
          <w:sz w:val="20"/>
          <w:szCs w:val="20"/>
          <w:color w:val="auto"/>
        </w:rPr>
      </w:pPr>
    </w:p>
    <w:p>
      <w:pPr>
        <w:ind w:left="640" w:hanging="232"/>
        <w:spacing w:after="0"/>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execution and delivery of this Agreement and prior to the Closing Date:</w:t>
      </w:r>
    </w:p>
    <w:p>
      <w:pPr>
        <w:spacing w:after="0" w:line="104" w:lineRule="exact"/>
        <w:rPr>
          <w:rFonts w:ascii="Times New Roman" w:cs="Times New Roman" w:eastAsia="Times New Roman" w:hAnsi="Times New Roman"/>
          <w:sz w:val="17"/>
          <w:szCs w:val="17"/>
          <w:color w:val="auto"/>
        </w:rPr>
      </w:pPr>
    </w:p>
    <w:p>
      <w:pPr>
        <w:ind w:left="400" w:right="120" w:firstLine="399"/>
        <w:spacing w:after="0" w:line="271" w:lineRule="auto"/>
        <w:tabs>
          <w:tab w:leader="none" w:pos="99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order suspending the effectiveness of the Registration Statement shall be in effect, and no proceeding for such purpose or pursuant to Section 8A under the Securities Act shall be pending before or to the Company’s knowledge, threatened by the Commission; and</w:t>
      </w:r>
    </w:p>
    <w:p>
      <w:pPr>
        <w:spacing w:after="0" w:line="58" w:lineRule="exact"/>
        <w:rPr>
          <w:rFonts w:ascii="Times New Roman" w:cs="Times New Roman" w:eastAsia="Times New Roman" w:hAnsi="Times New Roman"/>
          <w:sz w:val="17"/>
          <w:szCs w:val="17"/>
          <w:color w:val="auto"/>
        </w:rPr>
      </w:pPr>
    </w:p>
    <w:p>
      <w:pPr>
        <w:ind w:left="400" w:right="20" w:firstLine="399"/>
        <w:spacing w:after="0" w:line="254" w:lineRule="auto"/>
        <w:tabs>
          <w:tab w:leader="none" w:pos="103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Morgan Stanley’s judgment, is material and adverse and that makes it, in Morgan Stanley’s judgment, impracticable to market the Shares on the terms and in the manner contemplated in the Time of Sale Prospectus.</w:t>
      </w:r>
    </w:p>
    <w:p>
      <w:pPr>
        <w:spacing w:after="0" w:line="173" w:lineRule="exact"/>
        <w:rPr>
          <w:rFonts w:ascii="Times New Roman" w:cs="Times New Roman" w:eastAsia="Times New Roman" w:hAnsi="Times New Roman"/>
          <w:sz w:val="17"/>
          <w:szCs w:val="17"/>
          <w:color w:val="auto"/>
        </w:rPr>
      </w:pPr>
    </w:p>
    <w:p>
      <w:pPr>
        <w:ind w:right="80" w:firstLine="408"/>
        <w:spacing w:after="0" w:line="254" w:lineRule="auto"/>
        <w:tabs>
          <w:tab w:leader="none" w:pos="6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200"/>
          </w:cols>
          <w:pgMar w:left="840" w:top="257" w:right="85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The officer signing and delivering such certificate may rely upon the best of his or her knowledge as to proceedings threatened.</w:t>
      </w:r>
    </w:p>
    <w:p>
      <w:pPr>
        <w:spacing w:after="0" w:line="205" w:lineRule="exact"/>
        <w:rPr>
          <w:sz w:val="20"/>
          <w:szCs w:val="20"/>
          <w:color w:val="auto"/>
        </w:rPr>
      </w:pPr>
    </w:p>
    <w:p>
      <w:pPr>
        <w:ind w:right="100" w:firstLine="408"/>
        <w:spacing w:after="0" w:line="303" w:lineRule="auto"/>
        <w:tabs>
          <w:tab w:leader="none" w:pos="63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Morgan Stanley shall have received on the Closing Date an opinion and negative assurance letter of Gunderson Dettmer Stough Villeneuve Franklin &amp; Hachigian, LLP, outside counsel for the Company, dated the Closing Date in form and substance reasonably satisfactory to Morgan Stanley.</w:t>
      </w:r>
    </w:p>
    <w:p>
      <w:pPr>
        <w:spacing w:after="0" w:line="135" w:lineRule="exact"/>
        <w:rPr>
          <w:rFonts w:ascii="Times New Roman" w:cs="Times New Roman" w:eastAsia="Times New Roman" w:hAnsi="Times New Roman"/>
          <w:sz w:val="16"/>
          <w:szCs w:val="16"/>
          <w:color w:val="auto"/>
        </w:rPr>
      </w:pPr>
    </w:p>
    <w:p>
      <w:pPr>
        <w:ind w:right="120" w:firstLine="408"/>
        <w:spacing w:after="0" w:line="271" w:lineRule="auto"/>
        <w:tabs>
          <w:tab w:leader="none" w:pos="64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Morgan Stanley shall have received on the Closing Date an opinion and negative assurance letter of Davis Polk &amp; Wardwell LLP, counsel for the Underwriters, dated the Closing Date in form and substance reasonably satisfactory to Morgan Stanley.</w:t>
      </w:r>
    </w:p>
    <w:p>
      <w:pPr>
        <w:spacing w:after="0" w:line="159" w:lineRule="exact"/>
        <w:rPr>
          <w:sz w:val="20"/>
          <w:szCs w:val="20"/>
          <w:color w:val="auto"/>
        </w:rPr>
      </w:pPr>
    </w:p>
    <w:p>
      <w:pPr>
        <w:ind w:firstLine="408"/>
        <w:spacing w:after="0" w:line="249" w:lineRule="auto"/>
        <w:rPr>
          <w:sz w:val="20"/>
          <w:szCs w:val="20"/>
          <w:color w:val="auto"/>
        </w:rPr>
      </w:pPr>
      <w:r>
        <w:rPr>
          <w:rFonts w:ascii="Times New Roman" w:cs="Times New Roman" w:eastAsia="Times New Roman" w:hAnsi="Times New Roman"/>
          <w:sz w:val="17"/>
          <w:szCs w:val="17"/>
          <w:color w:val="auto"/>
        </w:rPr>
        <w:t>With respect to the negative assurance letter to be delivered pursuant to Section 5(c) above, Gunderson Dettmer Stough Villeneuve Franklin &amp; Hachigian, LLP may state that their opinions and beliefs are based upon their participation in the preparation of the Registration Statement, the Time of Sale Prospectus, the Prospectus and any amendments or supplements thereto and review and discussion of the contents thereof, but are without independent check or verification, except as specified. With respect to the negative assurance letter to be delivered pursuant to Section 5(d) above, Davis Polk &amp; Wardwell LLP may state that their opinions and beliefs are based upon their participation in the preparation of the Registration Statement, the Time of Sale Prospectus and the Prospectus and any amendments or supplements thereto (other than the documents incorporated by reference) and upon review and discussion of the contents thereof (including documents incorporated by reference), but are without independent check or verification, except as specified.</w:t>
      </w:r>
    </w:p>
    <w:p>
      <w:pPr>
        <w:spacing w:after="0" w:line="179" w:lineRule="exact"/>
        <w:rPr>
          <w:sz w:val="20"/>
          <w:szCs w:val="20"/>
          <w:color w:val="auto"/>
        </w:rPr>
      </w:pPr>
    </w:p>
    <w:p>
      <w:pPr>
        <w:ind w:right="220" w:firstLine="408"/>
        <w:spacing w:after="0" w:line="271" w:lineRule="auto"/>
        <w:rPr>
          <w:sz w:val="20"/>
          <w:szCs w:val="20"/>
          <w:color w:val="auto"/>
        </w:rPr>
      </w:pPr>
      <w:r>
        <w:rPr>
          <w:rFonts w:ascii="Times New Roman" w:cs="Times New Roman" w:eastAsia="Times New Roman" w:hAnsi="Times New Roman"/>
          <w:sz w:val="17"/>
          <w:szCs w:val="17"/>
          <w:color w:val="auto"/>
        </w:rPr>
        <w:t>The opinion of Gunderson Dettmer Stough Villeneuve Franklin &amp; Hachigian, LLP described in Section 5(c) above shall be rendered to Morgan Stanley at the request of the Company and shall so state therein.</w:t>
      </w:r>
    </w:p>
    <w:p>
      <w:pPr>
        <w:spacing w:after="0" w:line="159" w:lineRule="exact"/>
        <w:rPr>
          <w:sz w:val="20"/>
          <w:szCs w:val="20"/>
          <w:color w:val="auto"/>
        </w:rPr>
      </w:pPr>
    </w:p>
    <w:p>
      <w:pPr>
        <w:ind w:right="20" w:firstLine="408"/>
        <w:spacing w:after="0" w:line="252"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Morgan Stanley shall have received, on each of the date hereof and the Closing Date, a letter dated the date hereof or the Closing Date, as the case may be, in form and substance satisfactory to Morgan Stanley, from Deloitte &amp; Touche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letter delivered on the Closing Date shall use a “cut-off date” not earlier than the date hereof.</w:t>
      </w:r>
    </w:p>
    <w:p>
      <w:pPr>
        <w:spacing w:after="0" w:line="170" w:lineRule="exact"/>
        <w:rPr>
          <w:rFonts w:ascii="Times New Roman" w:cs="Times New Roman" w:eastAsia="Times New Roman" w:hAnsi="Times New Roman"/>
          <w:sz w:val="17"/>
          <w:szCs w:val="17"/>
          <w:color w:val="auto"/>
        </w:rPr>
      </w:pPr>
    </w:p>
    <w:p>
      <w:pPr>
        <w:ind w:left="620" w:hanging="21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reserved</w:t>
      </w:r>
      <w:r>
        <w:rPr>
          <w:rFonts w:ascii="Times New Roman" w:cs="Times New Roman" w:eastAsia="Times New Roman" w:hAnsi="Times New Roman"/>
          <w:sz w:val="17"/>
          <w:szCs w:val="17"/>
          <w:color w:val="auto"/>
        </w:rPr>
        <w:t>]</w:t>
      </w:r>
    </w:p>
    <w:p>
      <w:pPr>
        <w:spacing w:after="0" w:line="208" w:lineRule="exact"/>
        <w:rPr>
          <w:rFonts w:ascii="Times New Roman" w:cs="Times New Roman" w:eastAsia="Times New Roman" w:hAnsi="Times New Roman"/>
          <w:sz w:val="17"/>
          <w:szCs w:val="17"/>
          <w:color w:val="auto"/>
        </w:rPr>
      </w:pPr>
    </w:p>
    <w:p>
      <w:pPr>
        <w:jc w:val="both"/>
        <w:ind w:right="80" w:firstLine="408"/>
        <w:spacing w:after="0" w:line="258" w:lineRule="auto"/>
        <w:tabs>
          <w:tab w:leader="none" w:pos="6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“lock-up” agreements, each substantially in the form of Exhibit A hereto, between Morgan Stanley and certain shareholders, officers and directors of the Company relating to restrictions on sales and certain other dispositions of shares of Common Stock or certain other securities, delivered to Morgan Stanley on or before the date hereof, shall be in full force and effect on the Closing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200"/>
          </w:cols>
          <w:pgMar w:left="840" w:top="261" w:right="859" w:bottom="1440" w:gutter="0" w:footer="0" w:header="0"/>
        </w:sectPr>
      </w:pPr>
    </w:p>
    <w:bookmarkStart w:id="18" w:name="page19"/>
    <w:bookmarkEnd w:id="18"/>
    <w:p>
      <w:pPr>
        <w:ind w:left="-60" w:right="340" w:firstLine="408"/>
        <w:spacing w:after="0" w:line="271" w:lineRule="auto"/>
        <w:tabs>
          <w:tab w:leader="none" w:pos="58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The several obligations of the Underwriters to purchase Additional Shares hereunder are subject to the delivery to Morgan Stanley on the applicable Option Closing Date of the following:</w:t>
      </w:r>
    </w:p>
    <w:p>
      <w:pPr>
        <w:spacing w:after="0" w:line="58" w:lineRule="exact"/>
        <w:rPr>
          <w:rFonts w:ascii="Times New Roman" w:cs="Times New Roman" w:eastAsia="Times New Roman" w:hAnsi="Times New Roman"/>
          <w:sz w:val="17"/>
          <w:szCs w:val="17"/>
          <w:color w:val="auto"/>
        </w:rPr>
      </w:pPr>
    </w:p>
    <w:p>
      <w:pPr>
        <w:ind w:left="340" w:right="80" w:firstLine="399"/>
        <w:spacing w:after="0" w:line="271" w:lineRule="auto"/>
        <w:tabs>
          <w:tab w:leader="none" w:pos="93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58" w:lineRule="exact"/>
        <w:rPr>
          <w:rFonts w:ascii="Times New Roman" w:cs="Times New Roman" w:eastAsia="Times New Roman" w:hAnsi="Times New Roman"/>
          <w:sz w:val="17"/>
          <w:szCs w:val="17"/>
          <w:color w:val="auto"/>
        </w:rPr>
      </w:pPr>
    </w:p>
    <w:p>
      <w:pPr>
        <w:ind w:left="340" w:right="140" w:firstLine="399"/>
        <w:spacing w:after="0" w:line="258" w:lineRule="auto"/>
        <w:tabs>
          <w:tab w:leader="none" w:pos="9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and negative assurance letter of Gunderson Dettmer Stough Villeneuve Franklin &amp; Hachigian, LLP, outside counsel for the Company, dated the Option Closing Date, relating to the Additional Shares to be purchased on such Option Closing Date and otherwise to the same effect as the opinion and negative assurance letter required by Section 5(c) hereof;</w:t>
      </w:r>
    </w:p>
    <w:p>
      <w:pPr>
        <w:spacing w:after="0" w:line="70" w:lineRule="exact"/>
        <w:rPr>
          <w:rFonts w:ascii="Times New Roman" w:cs="Times New Roman" w:eastAsia="Times New Roman" w:hAnsi="Times New Roman"/>
          <w:sz w:val="17"/>
          <w:szCs w:val="17"/>
          <w:color w:val="auto"/>
        </w:rPr>
      </w:pPr>
    </w:p>
    <w:p>
      <w:pPr>
        <w:ind w:left="340" w:right="100" w:firstLine="399"/>
        <w:spacing w:after="0" w:line="258" w:lineRule="auto"/>
        <w:tabs>
          <w:tab w:leader="none" w:pos="102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and negative assurance letter of Davis Polk &amp; Wardwell LLP, counsel for the Underwriters, dated the Option Closing Date, relating to the Additional Shares to be purchased on such Option Closing Date and otherwise to the same effect as the opinion and negative assurance letter required by Section 5(d) hereof;</w:t>
      </w:r>
    </w:p>
    <w:p>
      <w:pPr>
        <w:spacing w:after="0" w:line="70" w:lineRule="exact"/>
        <w:rPr>
          <w:rFonts w:ascii="Times New Roman" w:cs="Times New Roman" w:eastAsia="Times New Roman" w:hAnsi="Times New Roman"/>
          <w:sz w:val="17"/>
          <w:szCs w:val="17"/>
          <w:color w:val="auto"/>
        </w:rPr>
      </w:pPr>
    </w:p>
    <w:p>
      <w:pPr>
        <w:ind w:left="340" w:firstLine="399"/>
        <w:spacing w:after="0" w:line="254" w:lineRule="auto"/>
        <w:tabs>
          <w:tab w:leader="none" w:pos="101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letter dated the Option Closing Date, in form and substance satisfactory to Morgan Stanley, from Deloitte &amp; Touche LLP, independent public accountants, substantially in the same form and substance as the letter furnished to Morgan Stanley pursuant to Section 5(e) hereof;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letter delivered on the Option Closing Date shall use a “cut-off date” not earlier than two business days prior to such Option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Closing Date; and</w:t>
      </w:r>
    </w:p>
    <w:p>
      <w:pPr>
        <w:spacing w:after="0" w:line="73" w:lineRule="exact"/>
        <w:rPr>
          <w:rFonts w:ascii="Times New Roman" w:cs="Times New Roman" w:eastAsia="Times New Roman" w:hAnsi="Times New Roman"/>
          <w:sz w:val="17"/>
          <w:szCs w:val="17"/>
          <w:color w:val="auto"/>
        </w:rPr>
      </w:pPr>
    </w:p>
    <w:p>
      <w:pPr>
        <w:ind w:left="340" w:right="380" w:firstLine="399"/>
        <w:spacing w:after="0" w:line="258" w:lineRule="auto"/>
        <w:tabs>
          <w:tab w:leader="none" w:pos="96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documents as Morgan Stanley may reasonably request with respect to the good standing of the Company, the due authorization and issuance of the Additional Shares to be sold on such Option Closing Date and other matters related to the issuance of such Additional Shares.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17"/>
          <w:szCs w:val="17"/>
          <w:i w:val="1"/>
          <w:iCs w:val="1"/>
          <w:color w:val="auto"/>
        </w:rPr>
        <w:t>Covenants of the Company</w:t>
      </w:r>
      <w:r>
        <w:rPr>
          <w:rFonts w:ascii="Times New Roman" w:cs="Times New Roman" w:eastAsia="Times New Roman" w:hAnsi="Times New Roman"/>
          <w:sz w:val="17"/>
          <w:szCs w:val="17"/>
          <w:color w:val="auto"/>
        </w:rPr>
        <w:t>. The Company covenants with each Underwriter as follows:</w:t>
      </w:r>
    </w:p>
    <w:p>
      <w:pPr>
        <w:spacing w:after="0" w:line="209" w:lineRule="exact"/>
        <w:rPr>
          <w:sz w:val="20"/>
          <w:szCs w:val="20"/>
          <w:color w:val="auto"/>
        </w:rPr>
      </w:pPr>
    </w:p>
    <w:p>
      <w:pPr>
        <w:ind w:left="-60" w:right="20" w:firstLine="408"/>
        <w:spacing w:after="0" w:line="250" w:lineRule="auto"/>
        <w:tabs>
          <w:tab w:leader="none" w:pos="57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furnish to Morgan Stanley, without charge, a signed copy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Morgan Stanley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Morgan Stanley may reasonably request.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080"/>
          </w:cols>
          <w:pgMar w:left="900" w:top="261" w:right="919" w:bottom="1440" w:gutter="0" w:footer="0" w:header="0"/>
        </w:sectPr>
      </w:pPr>
    </w:p>
    <w:bookmarkStart w:id="19" w:name="page20"/>
    <w:bookmarkEnd w:id="19"/>
    <w:p>
      <w:pPr>
        <w:ind w:right="120" w:firstLine="408"/>
        <w:spacing w:after="0" w:line="254" w:lineRule="auto"/>
        <w:tabs>
          <w:tab w:leader="none" w:pos="64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36830"/>
                    </a:xfrm>
                    <a:prstGeom prst="rect">
                      <a:avLst/>
                    </a:prstGeom>
                    <a:noFill/>
                  </pic:spPr>
                </pic:pic>
              </a:graphicData>
            </a:graphic>
          </wp:anchor>
        </w:drawing>
        <w:t>Before amending or supplementing the Registration Statement, the Time of Sale Prospectus or the Prospectus, to furnish to Morgan Stanley a copy of each such proposed amendment or supplement and not to file any such proposed amendment or supplement to which Morgan Stanley reasonably objects, and to file with the Commission within the applicable period specified in Rule 424(b) under the Securities Act any prospectus required to be filed pursuant to such Rule.</w:t>
      </w:r>
    </w:p>
    <w:p>
      <w:pPr>
        <w:spacing w:after="0" w:line="173" w:lineRule="exact"/>
        <w:rPr>
          <w:rFonts w:ascii="Times New Roman" w:cs="Times New Roman" w:eastAsia="Times New Roman" w:hAnsi="Times New Roman"/>
          <w:sz w:val="17"/>
          <w:szCs w:val="17"/>
          <w:color w:val="auto"/>
        </w:rPr>
      </w:pPr>
    </w:p>
    <w:p>
      <w:pPr>
        <w:ind w:right="120" w:firstLine="408"/>
        <w:spacing w:after="0" w:line="271" w:lineRule="auto"/>
        <w:tabs>
          <w:tab w:leader="none" w:pos="63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furnish to Morgan Stanley a copy of each proposed free writing prospectus to be prepared by or on behalf of, used by, or referred to by the Company and not to use or refer to any proposed free writing prospectus to which Morgan Stanley reasonably objects.</w:t>
      </w:r>
    </w:p>
    <w:p>
      <w:pPr>
        <w:spacing w:after="0" w:line="159" w:lineRule="exact"/>
        <w:rPr>
          <w:rFonts w:ascii="Times New Roman" w:cs="Times New Roman" w:eastAsia="Times New Roman" w:hAnsi="Times New Roman"/>
          <w:sz w:val="17"/>
          <w:szCs w:val="17"/>
          <w:color w:val="auto"/>
        </w:rPr>
      </w:pPr>
    </w:p>
    <w:p>
      <w:pPr>
        <w:ind w:right="40" w:firstLine="408"/>
        <w:spacing w:after="0" w:line="258" w:lineRule="auto"/>
        <w:tabs>
          <w:tab w:leader="none" w:pos="64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70" w:lineRule="exact"/>
        <w:rPr>
          <w:rFonts w:ascii="Times New Roman" w:cs="Times New Roman" w:eastAsia="Times New Roman" w:hAnsi="Times New Roman"/>
          <w:sz w:val="17"/>
          <w:szCs w:val="17"/>
          <w:color w:val="auto"/>
        </w:rPr>
      </w:pPr>
    </w:p>
    <w:p>
      <w:pPr>
        <w:ind w:right="40" w:firstLine="408"/>
        <w:spacing w:after="0" w:line="248"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2" w:lineRule="exact"/>
        <w:rPr>
          <w:rFonts w:ascii="Times New Roman" w:cs="Times New Roman" w:eastAsia="Times New Roman" w:hAnsi="Times New Roman"/>
          <w:sz w:val="17"/>
          <w:szCs w:val="17"/>
          <w:color w:val="auto"/>
        </w:rPr>
      </w:pPr>
    </w:p>
    <w:p>
      <w:pPr>
        <w:ind w:firstLine="408"/>
        <w:spacing w:after="0" w:line="250"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200"/>
          </w:cols>
          <w:pgMar w:left="840" w:top="261" w:right="859" w:bottom="1440" w:gutter="0" w:footer="0" w:header="0"/>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36830"/>
                    </a:xfrm>
                    <a:prstGeom prst="rect">
                      <a:avLst/>
                    </a:prstGeom>
                    <a:noFill/>
                  </pic:spPr>
                </pic:pic>
              </a:graphicData>
            </a:graphic>
          </wp:anchor>
        </w:drawing>
        <w:t>expense, to the Underwriters and to the dealers (whose names and addresses Morgan Stanley will furnish to the Company) to which Shares may have been sold by Morgan Stanley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75" w:lineRule="exact"/>
        <w:rPr>
          <w:sz w:val="20"/>
          <w:szCs w:val="20"/>
          <w:color w:val="auto"/>
        </w:rPr>
      </w:pPr>
    </w:p>
    <w:p>
      <w:pPr>
        <w:ind w:right="280" w:firstLine="408"/>
        <w:spacing w:after="0" w:line="282" w:lineRule="auto"/>
        <w:tabs>
          <w:tab w:leader="none" w:pos="64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endeavor to qualify the Shares for offer and sale under the securities or Blue Sky laws of such jurisdictions as Morgan Stanley shall reasonably request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connection therewith the Company shall not be required to qualify as a foreign corporation or to file a general consent to service of process in any jurisdiction or subject itself to taxation in any such jurisdiction in which it was not otherwise subject to taxation.</w:t>
      </w:r>
    </w:p>
    <w:p>
      <w:pPr>
        <w:spacing w:after="0" w:line="152" w:lineRule="exact"/>
        <w:rPr>
          <w:rFonts w:ascii="Times New Roman" w:cs="Times New Roman" w:eastAsia="Times New Roman" w:hAnsi="Times New Roman"/>
          <w:sz w:val="16"/>
          <w:szCs w:val="16"/>
          <w:color w:val="auto"/>
        </w:rPr>
      </w:pPr>
    </w:p>
    <w:p>
      <w:pPr>
        <w:ind w:right="180" w:firstLine="408"/>
        <w:spacing w:after="0" w:line="254" w:lineRule="auto"/>
        <w:tabs>
          <w:tab w:leader="none" w:pos="6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generally available (which may be satisfied by filing with the Commission on its Electronic Data Gathering Analysis and Retrieval System) to the Company’s security holders and to Morgan Stanley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73" w:lineRule="exact"/>
        <w:rPr>
          <w:rFonts w:ascii="Times New Roman" w:cs="Times New Roman" w:eastAsia="Times New Roman" w:hAnsi="Times New Roman"/>
          <w:sz w:val="17"/>
          <w:szCs w:val="17"/>
          <w:color w:val="auto"/>
        </w:rPr>
      </w:pPr>
    </w:p>
    <w:p>
      <w:pPr>
        <w:ind w:right="40" w:firstLine="408"/>
        <w:spacing w:after="0" w:line="264" w:lineRule="auto"/>
        <w:tabs>
          <w:tab w:leader="none" w:pos="60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reasonably incurred and documented fees and disbursements of counsel to the Underwriters in connection with the review and qualification of the offering of the Shares by the Financial Industry Regulatory Authority, (v) all costs and expenses incident to listing the Shares on the Nasdaq Global Select Market, (vi) the cost of printing certificates representing the Shares, (vii) the costs and charges of any transfer agent, registrar or</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180"/>
          </w:cols>
          <w:pgMar w:left="840" w:top="261" w:right="879" w:bottom="1440" w:gutter="0" w:footer="0" w:header="0"/>
        </w:sectPr>
      </w:pPr>
    </w:p>
    <w:bookmarkStart w:id="21" w:name="page22"/>
    <w:bookmarkEnd w:id="21"/>
    <w:p>
      <w:pPr>
        <w:ind w:left="1"/>
        <w:spacing w:after="0" w:line="26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36830"/>
                    </a:xfrm>
                    <a:prstGeom prst="rect">
                      <a:avLst/>
                    </a:prstGeom>
                    <a:noFill/>
                  </pic:spPr>
                </pic:pic>
              </a:graphicData>
            </a:graphic>
          </wp:anchor>
        </w:drawing>
        <w:t>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64" w:lineRule="exact"/>
        <w:rPr>
          <w:sz w:val="20"/>
          <w:szCs w:val="20"/>
          <w:color w:val="auto"/>
        </w:rPr>
      </w:pPr>
    </w:p>
    <w:p>
      <w:pPr>
        <w:jc w:val="both"/>
        <w:ind w:left="1" w:right="60" w:firstLine="408"/>
        <w:spacing w:after="0" w:line="271" w:lineRule="auto"/>
        <w:tabs>
          <w:tab w:leader="none" w:pos="60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Morgan Stanley and will promptly amend or supplement, at its own expense, such Testing-the-Waters Communication to eliminate or correct such untrue statement or omission.</w:t>
      </w:r>
    </w:p>
    <w:p>
      <w:pPr>
        <w:spacing w:after="0" w:line="162" w:lineRule="exact"/>
        <w:rPr>
          <w:rFonts w:ascii="Times New Roman" w:cs="Times New Roman" w:eastAsia="Times New Roman" w:hAnsi="Times New Roman"/>
          <w:sz w:val="16"/>
          <w:szCs w:val="16"/>
          <w:color w:val="auto"/>
        </w:rPr>
      </w:pPr>
    </w:p>
    <w:p>
      <w:pPr>
        <w:ind w:left="1" w:right="80" w:firstLine="408"/>
        <w:spacing w:after="0" w:line="254" w:lineRule="auto"/>
        <w:tabs>
          <w:tab w:leader="none" w:pos="64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73" w:lineRule="exact"/>
        <w:rPr>
          <w:sz w:val="20"/>
          <w:szCs w:val="20"/>
          <w:color w:val="auto"/>
        </w:rPr>
      </w:pPr>
    </w:p>
    <w:p>
      <w:pPr>
        <w:ind w:left="1" w:right="40" w:firstLine="408"/>
        <w:spacing w:after="0" w:line="271" w:lineRule="auto"/>
        <w:tabs>
          <w:tab w:leader="none" w:pos="608"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also covenants with each Underwriter that, without the prior written consent of Morgan Stanley on behalf of the Underwriters, it will not, and will not publicly disclose an intention to, during the period ending 60 days after the date of the Prospectus (the “</w:t>
      </w:r>
      <w:r>
        <w:rPr>
          <w:rFonts w:ascii="Times New Roman" w:cs="Times New Roman" w:eastAsia="Times New Roman" w:hAnsi="Times New Roman"/>
          <w:sz w:val="16"/>
          <w:szCs w:val="16"/>
          <w:b w:val="1"/>
          <w:bCs w:val="1"/>
          <w:color w:val="auto"/>
        </w:rPr>
        <w:t>Restricted Period</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1" w:hanging="1"/>
        <w:spacing w:after="0" w:line="246" w:lineRule="auto"/>
        <w:tabs>
          <w:tab w:leader="none" w:pos="23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restrictions contained in the foregoing sentence shall not apply to (A) the Shares to be sold hereunder, (B) the issuance by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201"/>
          </w:cols>
          <w:pgMar w:left="839" w:top="261" w:right="859" w:bottom="1440" w:gutter="0" w:footer="0" w:header="0"/>
        </w:sectPr>
      </w:pPr>
    </w:p>
    <w:bookmarkStart w:id="22" w:name="page23"/>
    <w:bookmarkEnd w:id="22"/>
    <w:p>
      <w:pPr>
        <w:ind w:left="1"/>
        <w:spacing w:after="0" w:line="26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755" cy="36830"/>
                    </a:xfrm>
                    <a:prstGeom prst="rect">
                      <a:avLst/>
                    </a:prstGeom>
                    <a:noFill/>
                  </pic:spPr>
                </pic:pic>
              </a:graphicData>
            </a:graphic>
          </wp:anchor>
        </w:drawing>
        <w:t xml:space="preserve">of shares of Common Stock upon the exercise of an option or warrant or the conversion of a security outstanding on the date hereof as described in each of the Time of Sale Prospectus and Prospectus,(C) grants of options, restricted stock or other compensatory equity awards and the issuance of shares of Common Stock in connection with the exercise, vesting and/or settlement of any of the foregoing to employees, officers, directors, advisors or consultants of the Company pursuant to the terms of a plan in effect on the date hereof and as described in the Time of Sale Prospectus, (D) facilitating the establishment of a trading plan on behalf of a shareholder, officer or director of the Company pursuant to Rule 10b5-1 under the Exchange Act, for the transfer of shares of Common Stock,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such plan does not provide for the transfer of Common Stock during the Restricted Period and</w:t>
      </w:r>
    </w:p>
    <w:p>
      <w:pPr>
        <w:spacing w:after="0" w:line="3" w:lineRule="exact"/>
        <w:rPr>
          <w:sz w:val="20"/>
          <w:szCs w:val="20"/>
          <w:color w:val="auto"/>
        </w:rPr>
      </w:pPr>
    </w:p>
    <w:p>
      <w:pPr>
        <w:ind w:left="1" w:right="60" w:hanging="1"/>
        <w:spacing w:after="0" w:line="247" w:lineRule="auto"/>
        <w:tabs>
          <w:tab w:leader="none" w:pos="24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(E) the filing by the Company of registration statements on Form S-8 with respect to the employee benefit plans described in the Time of Sale Prospectus and Prospectus, or (F) issuances of Common Stock as payment of interest on the Company’s outstanding 4.375% Convertible Senior Notes due 2032 in accordance with their terms.</w:t>
      </w:r>
    </w:p>
    <w:p>
      <w:pPr>
        <w:spacing w:after="0" w:line="174" w:lineRule="exact"/>
        <w:rPr>
          <w:rFonts w:ascii="Times New Roman" w:cs="Times New Roman" w:eastAsia="Times New Roman" w:hAnsi="Times New Roman"/>
          <w:sz w:val="17"/>
          <w:szCs w:val="17"/>
          <w:color w:val="auto"/>
        </w:rPr>
      </w:pPr>
    </w:p>
    <w:p>
      <w:pPr>
        <w:ind w:left="1" w:right="320" w:firstLine="408"/>
        <w:spacing w:after="0" w:line="261" w:lineRule="auto"/>
        <w:tabs>
          <w:tab w:leader="none" w:pos="57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Covenants of the Underwriters</w:t>
      </w:r>
      <w:r>
        <w:rPr>
          <w:rFonts w:ascii="Times New Roman" w:cs="Times New Roman" w:eastAsia="Times New Roman" w:hAnsi="Times New Roman"/>
          <w:sz w:val="17"/>
          <w:szCs w:val="17"/>
          <w:color w:val="auto"/>
        </w:rPr>
        <w:t>. Each Underwriter, severally and not jointly, covenants with the Company not to take any action that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62" w:lineRule="exact"/>
        <w:rPr>
          <w:rFonts w:ascii="Times New Roman" w:cs="Times New Roman" w:eastAsia="Times New Roman" w:hAnsi="Times New Roman"/>
          <w:sz w:val="17"/>
          <w:szCs w:val="17"/>
          <w:color w:val="auto"/>
        </w:rPr>
      </w:pPr>
    </w:p>
    <w:p>
      <w:pPr>
        <w:ind w:left="1" w:right="20" w:firstLine="408"/>
        <w:spacing w:after="0" w:line="248" w:lineRule="auto"/>
        <w:tabs>
          <w:tab w:leader="none" w:pos="57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Indemnity and Contribution. </w:t>
      </w:r>
      <w:r>
        <w:rPr>
          <w:rFonts w:ascii="Times New Roman" w:cs="Times New Roman" w:eastAsia="Times New Roman" w:hAnsi="Times New Roman"/>
          <w:sz w:val="17"/>
          <w:szCs w:val="17"/>
          <w:color w:val="auto"/>
        </w:rPr>
        <w:t>(a) The Company agrees to indemnify and hold harmless each Underwriter, each person, if any, who controls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reasonably incurred and documented expenses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7"/>
          <w:szCs w:val="17"/>
          <w:b w:val="1"/>
          <w:bCs w:val="1"/>
          <w:color w:val="auto"/>
        </w:rPr>
        <w:t>road show</w:t>
      </w:r>
      <w:r>
        <w:rPr>
          <w:rFonts w:ascii="Times New Roman" w:cs="Times New Roman" w:eastAsia="Times New Roman" w:hAnsi="Times New Roman"/>
          <w:sz w:val="17"/>
          <w:szCs w:val="17"/>
          <w:color w:val="auto"/>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Morgan Stanley expressly for use therein, it being understood and agreed that the only such information furnished by the Underwriters through Morgan Stanley consists of the information described as such in paragraph (b) below.</w:t>
      </w:r>
    </w:p>
    <w:p>
      <w:pPr>
        <w:spacing w:after="0" w:line="1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161"/>
          </w:cols>
          <w:pgMar w:left="839" w:top="261" w:right="899" w:bottom="1440" w:gutter="0" w:footer="0" w:header="0"/>
        </w:sectPr>
      </w:pPr>
    </w:p>
    <w:bookmarkStart w:id="23" w:name="page24"/>
    <w:bookmarkEnd w:id="23"/>
    <w:p>
      <w:pPr>
        <w:ind w:left="-20" w:firstLine="408"/>
        <w:spacing w:after="0" w:line="266" w:lineRule="auto"/>
        <w:tabs>
          <w:tab w:leader="none" w:pos="62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36830"/>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Morgan Stanley expressly for use in the Registration Statement, any preliminary prospectus, the Time of Sale Prospectus, any issuer free writing prospectus, road show, or the Prospectus or any amendment or supplement thereto; it being understood and agreed upon that the only such information furnished by the Underwriters consists of the following information in the Prospectus furnished on behalf of the Underwriters: the names and corresponding principal amounts set forth in the table of Underwriters under the first paragraph of text under the caption “Underwriting” and the concession figure appearing in the third paragraph under the caption “Underwriting” and the information contained in the thirteenth paragraph under the caption “Underwriting” concerning stabilization.</w:t>
      </w:r>
    </w:p>
    <w:p>
      <w:pPr>
        <w:spacing w:after="0" w:line="166" w:lineRule="exact"/>
        <w:rPr>
          <w:rFonts w:ascii="Times New Roman" w:cs="Times New Roman" w:eastAsia="Times New Roman" w:hAnsi="Times New Roman"/>
          <w:sz w:val="16"/>
          <w:szCs w:val="16"/>
          <w:color w:val="auto"/>
        </w:rPr>
      </w:pPr>
    </w:p>
    <w:p>
      <w:pPr>
        <w:ind w:left="-20" w:right="40" w:firstLine="408"/>
        <w:spacing w:after="0" w:line="247" w:lineRule="auto"/>
        <w:tabs>
          <w:tab w:leader="none" w:pos="6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160"/>
          </w:cols>
          <w:pgMar w:left="860" w:top="261" w:right="879" w:bottom="1440" w:gutter="0" w:footer="0" w:header="0"/>
        </w:sectPr>
      </w:pPr>
    </w:p>
    <w:bookmarkStart w:id="24" w:name="page25"/>
    <w:bookmarkEnd w:id="24"/>
    <w:p>
      <w:pPr>
        <w:ind w:right="120"/>
        <w:spacing w:after="0" w:line="24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755" cy="36830"/>
                    </a:xfrm>
                    <a:prstGeom prst="rect">
                      <a:avLst/>
                    </a:prstGeom>
                    <a:noFill/>
                  </pic:spPr>
                </pic:pic>
              </a:graphicData>
            </a:graphic>
          </wp:anchor>
        </w:drawing>
        <w:t>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9" w:lineRule="exact"/>
        <w:rPr>
          <w:sz w:val="20"/>
          <w:szCs w:val="20"/>
          <w:color w:val="auto"/>
        </w:rPr>
      </w:pPr>
    </w:p>
    <w:p>
      <w:pPr>
        <w:ind w:firstLine="408"/>
        <w:spacing w:after="0" w:line="247" w:lineRule="auto"/>
        <w:tabs>
          <w:tab w:leader="none" w:pos="64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160"/>
          </w:cols>
          <w:pgMar w:left="840" w:top="261" w:right="899" w:bottom="1440" w:gutter="0" w:footer="0" w:header="0"/>
        </w:sectPr>
      </w:pPr>
    </w:p>
    <w:bookmarkStart w:id="25" w:name="page26"/>
    <w:bookmarkEnd w:id="25"/>
    <w:p>
      <w:pPr>
        <w:ind w:left="-408" w:firstLine="408"/>
        <w:spacing w:after="0" w:line="248" w:lineRule="auto"/>
        <w:tabs>
          <w:tab w:leader="none" w:pos="22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755" cy="36830"/>
                    </a:xfrm>
                    <a:prstGeom prst="rect">
                      <a:avLst/>
                    </a:prstGeom>
                    <a:noFill/>
                  </pic:spPr>
                </pic:pic>
              </a:graphicData>
            </a:graphic>
          </wp:anchor>
        </w:drawing>
        <w:t xml:space="preserve">The Company and the Underwriters agree that it would not be just or equitable if contribution pursuant to this Section 8 were determined by </w:t>
      </w:r>
      <w:r>
        <w:rPr>
          <w:rFonts w:ascii="Times New Roman" w:cs="Times New Roman" w:eastAsia="Times New Roman" w:hAnsi="Times New Roman"/>
          <w:sz w:val="17"/>
          <w:szCs w:val="17"/>
          <w:i w:val="1"/>
          <w:iCs w:val="1"/>
          <w:color w:val="auto"/>
        </w:rPr>
        <w:t xml:space="preserve">pro rata </w:t>
      </w:r>
      <w:r>
        <w:rPr>
          <w:rFonts w:ascii="Times New Roman" w:cs="Times New Roman" w:eastAsia="Times New Roman" w:hAnsi="Times New Roman"/>
          <w:sz w:val="17"/>
          <w:szCs w:val="17"/>
          <w:color w:val="auto"/>
        </w:rPr>
        <w:t>allocation (even if the Underwriters were treated as one entity for such purpose) or by any other method of allocation that does not take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80" w:lineRule="exact"/>
        <w:rPr>
          <w:rFonts w:ascii="Times New Roman" w:cs="Times New Roman" w:eastAsia="Times New Roman" w:hAnsi="Times New Roman"/>
          <w:sz w:val="17"/>
          <w:szCs w:val="17"/>
          <w:color w:val="auto"/>
        </w:rPr>
      </w:pPr>
    </w:p>
    <w:p>
      <w:pPr>
        <w:jc w:val="both"/>
        <w:ind w:left="-408" w:firstLine="408"/>
        <w:spacing w:after="0" w:line="254" w:lineRule="auto"/>
        <w:tabs>
          <w:tab w:leader="none" w:pos="20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69" w:lineRule="exact"/>
        <w:rPr>
          <w:sz w:val="20"/>
          <w:szCs w:val="20"/>
          <w:color w:val="auto"/>
        </w:rPr>
      </w:pPr>
    </w:p>
    <w:p>
      <w:pPr>
        <w:ind w:left="-408" w:firstLine="408"/>
        <w:spacing w:after="0" w:line="249" w:lineRule="auto"/>
        <w:tabs>
          <w:tab w:leader="none" w:pos="16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The Underwriters may terminate this Agreement by notice given by Morgan Stanley to the Company, if after the execution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delivery of this Agreement and prior to or on the Closing Date or any Option Closing Date, as the case may be, (i) trading generally shall have been suspended or materially limited on, or by, as the case may be, any of the New York Stock Exchange, the NYSE American,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Morgan Stanley’s judgment, is material and adverse and which, singly or together with any other event specified in this clause (v), makes it, in Morgan Stanley’s judgment, impracticable or inadvisable to proceed with the offer, sale or delivery of the Shares on the terms and in the manner contemplated in the Time of Sale Prospectus or the Prospectus.</w:t>
      </w:r>
    </w:p>
    <w:p>
      <w:pPr>
        <w:spacing w:after="0" w:line="173" w:lineRule="exact"/>
        <w:rPr>
          <w:rFonts w:ascii="Times New Roman" w:cs="Times New Roman" w:eastAsia="Times New Roman" w:hAnsi="Times New Roman"/>
          <w:sz w:val="17"/>
          <w:szCs w:val="17"/>
          <w:color w:val="auto"/>
        </w:rPr>
      </w:pPr>
    </w:p>
    <w:p>
      <w:pPr>
        <w:ind w:left="4612" w:right="120" w:hanging="4612"/>
        <w:spacing w:after="0" w:line="445" w:lineRule="auto"/>
        <w:tabs>
          <w:tab w:leader="none" w:pos="24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Effectiveness; Defaulting Underwriters</w:t>
      </w:r>
      <w:r>
        <w:rPr>
          <w:rFonts w:ascii="Times New Roman" w:cs="Times New Roman" w:eastAsia="Times New Roman" w:hAnsi="Times New Roman"/>
          <w:sz w:val="17"/>
          <w:szCs w:val="17"/>
          <w:color w:val="auto"/>
        </w:rPr>
        <w:t>. This Agreement shall become effective upon the execution and delivery hereof by the parties hereto.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21</w:t>
      </w:r>
    </w:p>
    <w:p>
      <w:pPr>
        <w:sectPr>
          <w:pgSz w:w="11900" w:h="16838" w:orient="portrait"/>
          <w:cols w:equalWidth="0" w:num="1">
            <w:col w:w="9772"/>
          </w:cols>
          <w:pgMar w:left="1248" w:top="261" w:right="879" w:bottom="1440" w:gutter="0" w:footer="0" w:header="0"/>
        </w:sectPr>
      </w:pPr>
    </w:p>
    <w:bookmarkStart w:id="26" w:name="page27"/>
    <w:bookmarkEnd w:id="26"/>
    <w:p>
      <w:pPr>
        <w:ind w:firstLine="408"/>
        <w:spacing w:after="0" w:line="24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755" cy="36830"/>
                    </a:xfrm>
                    <a:prstGeom prst="rect">
                      <a:avLst/>
                    </a:prstGeom>
                    <a:noFill/>
                  </pic:spPr>
                </pic:pic>
              </a:graphicData>
            </a:graphic>
          </wp:anchor>
        </w:drawing>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Morgan Stanley may specify, to purchase the Shares which such defaulting Underwriter or Underwriters agreed but failed or refused to purchase on such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Morgan Stanley and the Company for the purchase of such Firm Shares are not made within 36 hours after such default, this Agreement shall terminate without liability on the part of any non-defaulting Underwriter or the Company. In any such case either Morgan Stanley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0" w:lineRule="exact"/>
        <w:rPr>
          <w:sz w:val="20"/>
          <w:szCs w:val="20"/>
          <w:color w:val="auto"/>
        </w:rPr>
      </w:pPr>
    </w:p>
    <w:p>
      <w:pPr>
        <w:ind w:firstLine="408"/>
        <w:spacing w:after="0" w:line="250" w:lineRule="auto"/>
        <w:rPr>
          <w:sz w:val="20"/>
          <w:szCs w:val="20"/>
          <w:color w:val="auto"/>
        </w:rPr>
      </w:pPr>
      <w:r>
        <w:rPr>
          <w:rFonts w:ascii="Times New Roman" w:cs="Times New Roman" w:eastAsia="Times New Roman" w:hAnsi="Times New Roman"/>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reasonably incurred and documented out-of-pocket expenses (including the reasonably incurred and documented fees and disbursements of their counsel) by such Underwriters in connection with this Agreement or the offering contemplated hereunder. If this Agreement is terminated pursuant to Section 10 by reason of the default of one or more Underwriters, the Company shall not be obligated to reimburse any defaulting Underwriter on account of those expenses.</w:t>
      </w:r>
    </w:p>
    <w:p>
      <w:pPr>
        <w:spacing w:after="0" w:line="172" w:lineRule="exact"/>
        <w:rPr>
          <w:sz w:val="20"/>
          <w:szCs w:val="20"/>
          <w:color w:val="auto"/>
        </w:rPr>
      </w:pPr>
    </w:p>
    <w:p>
      <w:pPr>
        <w:ind w:right="40" w:firstLine="408"/>
        <w:spacing w:after="0" w:line="256" w:lineRule="auto"/>
        <w:tabs>
          <w:tab w:leader="none" w:pos="65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Entire Agreement</w:t>
      </w:r>
      <w:r>
        <w:rPr>
          <w:rFonts w:ascii="Times New Roman" w:cs="Times New Roman" w:eastAsia="Times New Roman" w:hAnsi="Times New Roman"/>
          <w:sz w:val="17"/>
          <w:szCs w:val="17"/>
          <w:color w:val="auto"/>
        </w:rPr>
        <w:t>. (a) This Agreement, together with any contemporaneous written agreements and any prior written agreements (to the extent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200"/>
          </w:cols>
          <w:pgMar w:left="840" w:top="261" w:right="859" w:bottom="1440" w:gutter="0" w:footer="0" w:header="0"/>
        </w:sectPr>
      </w:pPr>
    </w:p>
    <w:bookmarkStart w:id="27" w:name="page28"/>
    <w:bookmarkEnd w:id="27"/>
    <w:p>
      <w:pPr>
        <w:jc w:val="both"/>
        <w:ind w:left="1" w:right="80" w:firstLine="408"/>
        <w:spacing w:after="0" w:line="268" w:lineRule="auto"/>
        <w:tabs>
          <w:tab w:leader="none" w:pos="645"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36830"/>
                    </a:xfrm>
                    <a:prstGeom prst="rect">
                      <a:avLst/>
                    </a:prstGeom>
                    <a:noFill/>
                  </pic:spPr>
                </pic:pic>
              </a:graphicData>
            </a:graphic>
          </wp:anchor>
        </w:drawing>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w:t>
      </w:r>
    </w:p>
    <w:p>
      <w:pPr>
        <w:ind w:left="1" w:hanging="1"/>
        <w:spacing w:after="0" w:line="247" w:lineRule="auto"/>
        <w:tabs>
          <w:tab w:leader="none" w:pos="29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176" w:lineRule="exact"/>
        <w:rPr>
          <w:sz w:val="20"/>
          <w:szCs w:val="20"/>
          <w:color w:val="auto"/>
        </w:rPr>
      </w:pPr>
    </w:p>
    <w:p>
      <w:pPr>
        <w:ind w:left="1" w:right="100" w:firstLine="408"/>
        <w:spacing w:after="0" w:line="256" w:lineRule="auto"/>
        <w:tabs>
          <w:tab w:leader="none" w:pos="65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Recognition of the U.S. Special Resolution Regimes</w:t>
      </w:r>
      <w:r>
        <w:rPr>
          <w:rFonts w:ascii="Times New Roman" w:cs="Times New Roman" w:eastAsia="Times New Roman" w:hAnsi="Times New Roman"/>
          <w:sz w:val="17"/>
          <w:szCs w:val="17"/>
          <w:color w:val="auto"/>
        </w:rPr>
        <w:t>. (a) In the event that any Underwriter that is a Covered Entity becomes subject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1" w:lineRule="exact"/>
        <w:rPr>
          <w:sz w:val="20"/>
          <w:szCs w:val="20"/>
          <w:color w:val="auto"/>
        </w:rPr>
      </w:pPr>
    </w:p>
    <w:p>
      <w:pPr>
        <w:ind w:left="1" w:firstLine="408"/>
        <w:spacing w:after="0" w:line="254" w:lineRule="auto"/>
        <w:tabs>
          <w:tab w:leader="none" w:pos="64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9" w:lineRule="exact"/>
        <w:rPr>
          <w:sz w:val="20"/>
          <w:szCs w:val="20"/>
          <w:color w:val="auto"/>
        </w:rPr>
      </w:pPr>
    </w:p>
    <w:p>
      <w:pPr>
        <w:ind w:left="1" w:right="20" w:firstLine="408"/>
        <w:spacing w:after="0" w:line="250" w:lineRule="auto"/>
        <w:rPr>
          <w:sz w:val="20"/>
          <w:szCs w:val="20"/>
          <w:color w:val="auto"/>
        </w:rPr>
      </w:pPr>
      <w:r>
        <w:rPr>
          <w:rFonts w:ascii="Times New Roman" w:cs="Times New Roman" w:eastAsia="Times New Roman" w:hAnsi="Times New Roman"/>
          <w:sz w:val="17"/>
          <w:szCs w:val="17"/>
          <w:color w:val="auto"/>
        </w:rPr>
        <w:t>For purposes of this Section a “</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7"/>
          <w:szCs w:val="17"/>
          <w:b w:val="1"/>
          <w:bCs w:val="1"/>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 “</w:t>
      </w:r>
      <w:r>
        <w:rPr>
          <w:rFonts w:ascii="Times New Roman" w:cs="Times New Roman" w:eastAsia="Times New Roman" w:hAnsi="Times New Roman"/>
          <w:sz w:val="17"/>
          <w:szCs w:val="17"/>
          <w:b w:val="1"/>
          <w:bCs w:val="1"/>
          <w:color w:val="auto"/>
        </w:rPr>
        <w:t>U.S. Special Resolution Regime</w:t>
      </w:r>
      <w:r>
        <w:rPr>
          <w:rFonts w:ascii="Times New Roman" w:cs="Times New Roman" w:eastAsia="Times New Roman" w:hAnsi="Times New Roman"/>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181"/>
          </w:cols>
          <w:pgMar w:left="839" w:top="261" w:right="879" w:bottom="1440" w:gutter="0" w:footer="0" w:header="0"/>
        </w:sectPr>
      </w:pPr>
    </w:p>
    <w:bookmarkStart w:id="28" w:name="page29"/>
    <w:bookmarkEnd w:id="28"/>
    <w:p>
      <w:pPr>
        <w:ind w:left="-20" w:right="100" w:firstLine="408"/>
        <w:spacing w:after="0" w:line="253" w:lineRule="auto"/>
        <w:tabs>
          <w:tab w:leader="none" w:pos="6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755" cy="36830"/>
                    </a:xfrm>
                    <a:prstGeom prst="rect">
                      <a:avLst/>
                    </a:prstGeom>
                    <a:noFill/>
                  </pic:spPr>
                </pic:pic>
              </a:graphicData>
            </a:graphic>
          </wp:anchor>
        </w:drawing>
        <w:t>Counterparts</w:t>
      </w:r>
      <w:r>
        <w:rPr>
          <w:rFonts w:ascii="Times New Roman" w:cs="Times New Roman" w:eastAsia="Times New Roman" w:hAnsi="Times New Roman"/>
          <w:sz w:val="17"/>
          <w:szCs w:val="17"/>
          <w:color w:val="auto"/>
        </w:rPr>
        <w:t>. This Agreement may be signed in two or more counterparts, each of which shall be an original, with the same effect as if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0" w:lineRule="exact"/>
        <w:rPr>
          <w:rFonts w:ascii="Times New Roman" w:cs="Times New Roman" w:eastAsia="Times New Roman" w:hAnsi="Times New Roman"/>
          <w:sz w:val="17"/>
          <w:szCs w:val="17"/>
          <w:color w:val="auto"/>
        </w:rPr>
      </w:pPr>
    </w:p>
    <w:p>
      <w:pPr>
        <w:ind w:left="640" w:hanging="252"/>
        <w:spacing w:after="0"/>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Applicable Law</w:t>
      </w:r>
      <w:r>
        <w:rPr>
          <w:rFonts w:ascii="Times New Roman" w:cs="Times New Roman" w:eastAsia="Times New Roman" w:hAnsi="Times New Roman"/>
          <w:sz w:val="17"/>
          <w:szCs w:val="17"/>
          <w:color w:val="auto"/>
        </w:rPr>
        <w:t>. This Agreement shall be governed by and construed in accordance with the internal laws of the State of New York.</w:t>
      </w:r>
    </w:p>
    <w:p>
      <w:pPr>
        <w:spacing w:after="0" w:line="204" w:lineRule="exact"/>
        <w:rPr>
          <w:rFonts w:ascii="Times New Roman" w:cs="Times New Roman" w:eastAsia="Times New Roman" w:hAnsi="Times New Roman"/>
          <w:sz w:val="17"/>
          <w:szCs w:val="17"/>
          <w:color w:val="auto"/>
        </w:rPr>
      </w:pPr>
    </w:p>
    <w:p>
      <w:pPr>
        <w:ind w:left="-20" w:right="20" w:firstLine="408"/>
        <w:spacing w:after="0" w:line="276" w:lineRule="auto"/>
        <w:tabs>
          <w:tab w:leader="none" w:pos="6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Headings</w:t>
      </w:r>
      <w:r>
        <w:rPr>
          <w:rFonts w:ascii="Times New Roman" w:cs="Times New Roman" w:eastAsia="Times New Roman" w:hAnsi="Times New Roman"/>
          <w:sz w:val="17"/>
          <w:szCs w:val="17"/>
          <w:color w:val="auto"/>
        </w:rPr>
        <w:t>. The headings of the sections of this Agreement have been inserted for convenience of reference only and shall not be deemed a part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this Agreement.</w:t>
      </w:r>
    </w:p>
    <w:p>
      <w:pPr>
        <w:spacing w:after="0" w:line="150" w:lineRule="exact"/>
        <w:rPr>
          <w:rFonts w:ascii="Times New Roman" w:cs="Times New Roman" w:eastAsia="Times New Roman" w:hAnsi="Times New Roman"/>
          <w:sz w:val="17"/>
          <w:szCs w:val="17"/>
          <w:color w:val="auto"/>
        </w:rPr>
      </w:pPr>
    </w:p>
    <w:p>
      <w:pPr>
        <w:jc w:val="both"/>
        <w:ind w:left="-20" w:firstLine="408"/>
        <w:spacing w:after="0" w:line="256" w:lineRule="auto"/>
        <w:tabs>
          <w:tab w:leader="none" w:pos="6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Notices. </w:t>
      </w:r>
      <w:r>
        <w:rPr>
          <w:rFonts w:ascii="Times New Roman" w:cs="Times New Roman" w:eastAsia="Times New Roman" w:hAnsi="Times New Roman"/>
          <w:sz w:val="17"/>
          <w:szCs w:val="17"/>
          <w:color w:val="auto"/>
        </w:rPr>
        <w:t>All communications hereunder shall be in writing and effective only upon receipt and if to the Underwriters shall be delivered, mailed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sent to Morgan Stanley in care of Morgan Stanley &amp; Co. LLC, 1585 Broadway, New York, New York 10036, Attention: Equity Syndicate Desk, with a copy to the Legal Department; and if to the Company shall be delivered, mailed or sent to Aeva Technologies, Inc., 555 Ellis Street, Mountain View, California 94043.</w:t>
      </w:r>
    </w:p>
    <w:p>
      <w:pPr>
        <w:spacing w:after="0" w:line="19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3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Aeva Technologies, Inc.</w:t>
      </w:r>
    </w:p>
    <w:p>
      <w:pPr>
        <w:spacing w:after="0" w:line="21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By: /s/ Soroush Salehian Dardashti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13335</wp:posOffset>
            </wp:positionV>
            <wp:extent cx="2375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75535"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Name:Soroush Salehian Dardashti</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Title:Chief Executive Officer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160"/>
          </w:cols>
          <w:pgMar w:left="860" w:top="257" w:right="8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36830"/>
                    </a:xfrm>
                    <a:prstGeom prst="rect">
                      <a:avLst/>
                    </a:prstGeom>
                    <a:noFill/>
                  </pic:spPr>
                </pic:pic>
              </a:graphicData>
            </a:graphic>
          </wp:anchor>
        </w:drawing>
        <w:t>Accepted as of the date hereof</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Acting on behalf of itself and the several Underwriters</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named in Schedule I hereto.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Morgan Stanley &amp; Co. LLC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Usman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13335</wp:posOffset>
            </wp:positionV>
            <wp:extent cx="2375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75535" cy="8255"/>
                    </a:xfrm>
                    <a:prstGeom prst="rect">
                      <a:avLst/>
                    </a:prstGeom>
                    <a:noFill/>
                  </pic:spPr>
                </pic:pic>
              </a:graphicData>
            </a:graphic>
          </wp:anchor>
        </w:drawing>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Usman Khan</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Title:Managing Director</w:t>
      </w:r>
    </w:p>
    <w:p>
      <w:pPr>
        <w:spacing w:after="0" w:line="12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9619"/>
          </w:cols>
          <w:pgMar w:left="840" w:top="261"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1"/>
        </w:trPr>
        <w:tc>
          <w:tcPr>
            <w:tcW w:w="7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w w:val="97"/>
              </w:rPr>
              <w:t>SCHEDULE I</w:t>
            </w:r>
          </w:p>
        </w:tc>
        <w:tc>
          <w:tcPr>
            <w:tcW w:w="0" w:type="dxa"/>
            <w:vAlign w:val="bottom"/>
          </w:tcPr>
          <w:p>
            <w:pPr>
              <w:spacing w:after="0"/>
              <w:rPr>
                <w:sz w:val="1"/>
                <w:szCs w:val="1"/>
                <w:color w:val="auto"/>
              </w:rPr>
            </w:pPr>
          </w:p>
        </w:tc>
      </w:tr>
      <w:tr>
        <w:trPr>
          <w:trHeight w:val="339"/>
        </w:trPr>
        <w:tc>
          <w:tcPr>
            <w:tcW w:w="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w:t>
            </w:r>
          </w:p>
        </w:tc>
        <w:tc>
          <w:tcPr>
            <w:tcW w:w="2700" w:type="dxa"/>
            <w:vAlign w:val="bottom"/>
            <w:vMerge w:val="restart"/>
          </w:tcPr>
          <w:p>
            <w:pPr>
              <w:spacing w:after="0"/>
              <w:rPr>
                <w:sz w:val="24"/>
                <w:szCs w:val="24"/>
                <w:color w:val="auto"/>
              </w:rPr>
            </w:pPr>
          </w:p>
        </w:tc>
        <w:tc>
          <w:tcPr>
            <w:tcW w:w="6780" w:type="dxa"/>
            <w:vAlign w:val="bottom"/>
            <w:gridSpan w:val="3"/>
          </w:tcPr>
          <w:p>
            <w:pPr>
              <w:jc w:val="center"/>
              <w:ind w:left="5221"/>
              <w:spacing w:after="0"/>
              <w:rPr>
                <w:sz w:val="20"/>
                <w:szCs w:val="20"/>
                <w:color w:val="auto"/>
              </w:rPr>
            </w:pPr>
            <w:r>
              <w:rPr>
                <w:rFonts w:ascii="Times New Roman" w:cs="Times New Roman" w:eastAsia="Times New Roman" w:hAnsi="Times New Roman"/>
                <w:sz w:val="13"/>
                <w:szCs w:val="13"/>
                <w:b w:val="1"/>
                <w:bCs w:val="1"/>
                <w:color w:val="auto"/>
              </w:rPr>
              <w:t>Number of Firm Shares</w:t>
            </w:r>
          </w:p>
        </w:tc>
        <w:tc>
          <w:tcPr>
            <w:tcW w:w="0" w:type="dxa"/>
            <w:vAlign w:val="bottom"/>
          </w:tcPr>
          <w:p>
            <w:pPr>
              <w:spacing w:after="0"/>
              <w:rPr>
                <w:sz w:val="1"/>
                <w:szCs w:val="1"/>
                <w:color w:val="auto"/>
              </w:rPr>
            </w:pPr>
          </w:p>
        </w:tc>
      </w:tr>
      <w:tr>
        <w:trPr>
          <w:trHeight w:val="169"/>
        </w:trPr>
        <w:tc>
          <w:tcPr>
            <w:tcW w:w="74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5360" w:type="dxa"/>
            <w:vAlign w:val="bottom"/>
          </w:tcPr>
          <w:p>
            <w:pPr>
              <w:spacing w:after="0"/>
              <w:rPr>
                <w:sz w:val="14"/>
                <w:szCs w:val="14"/>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To Be Purchased</w:t>
            </w:r>
          </w:p>
        </w:tc>
        <w:tc>
          <w:tcPr>
            <w:tcW w:w="0" w:type="dxa"/>
            <w:vAlign w:val="bottom"/>
          </w:tcPr>
          <w:p>
            <w:pPr>
              <w:spacing w:after="0"/>
              <w:rPr>
                <w:sz w:val="1"/>
                <w:szCs w:val="1"/>
                <w:color w:val="auto"/>
              </w:rPr>
            </w:pPr>
          </w:p>
        </w:tc>
      </w:tr>
      <w:tr>
        <w:trPr>
          <w:trHeight w:val="185"/>
        </w:trPr>
        <w:tc>
          <w:tcPr>
            <w:tcW w:w="344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Morgan Stanley &amp; Co. LLC</w:t>
            </w:r>
          </w:p>
        </w:tc>
        <w:tc>
          <w:tcPr>
            <w:tcW w:w="53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2,696,629</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Goldman Sachs &amp; Co. LLC</w:t>
            </w:r>
          </w:p>
        </w:tc>
        <w:tc>
          <w:tcPr>
            <w:tcW w:w="6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1,348,315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Oppenheimer &amp; Co. Inc.</w:t>
            </w:r>
          </w:p>
        </w:tc>
        <w:tc>
          <w:tcPr>
            <w:tcW w:w="6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449,438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536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4,494,382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780" w:type="dxa"/>
            <w:vAlign w:val="bottom"/>
            <w:gridSpan w:val="3"/>
          </w:tcPr>
          <w:p>
            <w:pPr>
              <w:ind w:left="1560"/>
              <w:spacing w:after="0"/>
              <w:rPr>
                <w:sz w:val="20"/>
                <w:szCs w:val="20"/>
                <w:color w:val="auto"/>
              </w:rPr>
            </w:pPr>
            <w:r>
              <w:rPr>
                <w:rFonts w:ascii="Times New Roman" w:cs="Times New Roman" w:eastAsia="Times New Roman" w:hAnsi="Times New Roman"/>
                <w:sz w:val="17"/>
                <w:szCs w:val="17"/>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20"/>
          </w:cols>
          <w:pgMar w:left="840" w:top="257" w:right="839" w:bottom="1440" w:gutter="0" w:footer="0" w:header="0"/>
        </w:sect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36830"/>
                    </a:xfrm>
                    <a:prstGeom prst="rect">
                      <a:avLst/>
                    </a:prstGeom>
                    <a:noFill/>
                  </pic:spPr>
                </pic:pic>
              </a:graphicData>
            </a:graphic>
          </wp:anchor>
        </w:drawing>
      </w:r>
    </w:p>
    <w:bookmarkStart w:id="31" w:name="page32"/>
    <w:bookmarkEnd w:id="3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755" cy="36830"/>
                    </a:xfrm>
                    <a:prstGeom prst="rect">
                      <a:avLst/>
                    </a:prstGeom>
                    <a:noFill/>
                  </pic:spPr>
                </pic:pic>
              </a:graphicData>
            </a:graphic>
          </wp:anchor>
        </w:drawing>
        <w:t>SCHEDULE II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Time of Sale Prospectus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Preliminary Prospectus issued June 3, 2026</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200"/>
          </w:cols>
          <w:pgMar w:left="840" w:top="257" w:right="8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36830"/>
                    </a:xfrm>
                    <a:prstGeom prst="rect">
                      <a:avLst/>
                    </a:prstGeom>
                    <a:noFill/>
                  </pic:spPr>
                </pic:pic>
              </a:graphicData>
            </a:graphic>
          </wp:anchor>
        </w:drawing>
        <w:t>EXHIBIT A</w:t>
      </w:r>
    </w:p>
    <w:p>
      <w:pPr>
        <w:spacing w:after="0" w:line="200" w:lineRule="exact"/>
        <w:rPr>
          <w:sz w:val="20"/>
          <w:szCs w:val="20"/>
          <w:color w:val="auto"/>
        </w:rPr>
      </w:pPr>
    </w:p>
    <w:p>
      <w:pPr>
        <w:spacing w:after="0" w:line="20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FORM OF LOCK-UP AGREEMENT</w:t>
      </w:r>
    </w:p>
    <w:p>
      <w:pPr>
        <w:spacing w:after="0" w:line="2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circulated separately</w:t>
      </w:r>
      <w:r>
        <w:rPr>
          <w:rFonts w:ascii="Times New Roman" w:cs="Times New Roman" w:eastAsia="Times New Roman" w:hAnsi="Times New Roman"/>
          <w:sz w:val="17"/>
          <w:szCs w:val="17"/>
          <w:color w:val="auto"/>
        </w:rPr>
        <w:t>]</w:t>
      </w:r>
    </w:p>
    <w:p>
      <w:pPr>
        <w:spacing w:after="0" w:line="1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9600"/>
          </w:cols>
          <w:pgMar w:left="1440" w:top="257" w:right="8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1843405" cy="436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43405" cy="436880"/>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156210</wp:posOffset>
            </wp:positionV>
            <wp:extent cx="1660525" cy="755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60525" cy="75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4,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Aeva Technologies,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555 Ellis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Mountain View, CA 94043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5"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You have requested our opinion with respect to certain matters in connection with the sale and issuance by Aeva Technologies,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of up to an aggregate of 5,168,539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the Company’s common stock, par value $0.0001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(including up to an aggregate of 674,157 Shares that may be sold pursuant to the exercise of an option granted by the Company to the underwriters), pursuant to (i) a shelf registration statement on Form S-3 (File No. 333-296469)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filed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on June 3, 2026, which became automatically effective upon filing, and the related prospectus dated June 3, 2026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as supplemented by the prospectus supplement dated June 3, 2026, filed with the Commission pursuant to Rule 424(b) under the Act (the “</w:t>
      </w:r>
      <w:r>
        <w:rPr>
          <w:rFonts w:ascii="Times New Roman" w:cs="Times New Roman" w:eastAsia="Times New Roman" w:hAnsi="Times New Roman"/>
          <w:sz w:val="17"/>
          <w:szCs w:val="17"/>
          <w:b w:val="1"/>
          <w:bCs w:val="1"/>
          <w:i w:val="1"/>
          <w:iCs w:val="1"/>
          <w:color w:val="auto"/>
        </w:rPr>
        <w:t>Prospectus Supplement</w:t>
      </w:r>
      <w:r>
        <w:rPr>
          <w:rFonts w:ascii="Times New Roman" w:cs="Times New Roman" w:eastAsia="Times New Roman" w:hAnsi="Times New Roman"/>
          <w:sz w:val="17"/>
          <w:szCs w:val="17"/>
          <w:color w:val="auto"/>
        </w:rPr>
        <w:t>” and together with the Base Prospectus,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(ii) an underwriting agreement, dated June 3, 2026, entered into by and between the Company and Morgan Stanley &amp; Co. LLC, as representative of the several underwriters (the “</w:t>
      </w:r>
      <w:r>
        <w:rPr>
          <w:rFonts w:ascii="Times New Roman" w:cs="Times New Roman" w:eastAsia="Times New Roman" w:hAnsi="Times New Roman"/>
          <w:sz w:val="17"/>
          <w:szCs w:val="17"/>
          <w:b w:val="1"/>
          <w:bCs w:val="1"/>
          <w:i w:val="1"/>
          <w:iCs w:val="1"/>
          <w:color w:val="auto"/>
        </w:rPr>
        <w:t>Underwriting Agreement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In connection with this opinion, we have examined and relied upon the Registration Statement and the Prospectus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6866890" cy="532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66890" cy="532130"/>
                    </a:xfrm>
                    <a:prstGeom prst="rect">
                      <a:avLst/>
                    </a:prstGeom>
                    <a:noFill/>
                  </pic:spPr>
                </pic:pic>
              </a:graphicData>
            </a:graphic>
          </wp:anchor>
        </w:drawing>
      </w:r>
    </w:p>
    <w:p>
      <w:pPr>
        <w:sectPr>
          <w:pgSz w:w="11900" w:h="16838" w:orient="portrait"/>
          <w:cols w:equalWidth="0" w:num="1">
            <w:col w:w="10200"/>
          </w:cols>
          <w:pgMar w:left="840" w:top="123" w:right="8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755" cy="36830"/>
                    </a:xfrm>
                    <a:prstGeom prst="rect">
                      <a:avLst/>
                    </a:prstGeom>
                    <a:noFill/>
                  </pic:spPr>
                </pic:pic>
              </a:graphicData>
            </a:graphic>
          </wp:anchor>
        </w:drawing>
        <w:drawing>
          <wp:anchor simplePos="0" relativeHeight="251657728" behindDoc="1" locked="0" layoutInCell="0" allowOverlap="1">
            <wp:simplePos x="0" y="0"/>
            <wp:positionH relativeFrom="page">
              <wp:posOffset>537210</wp:posOffset>
            </wp:positionH>
            <wp:positionV relativeFrom="page">
              <wp:posOffset>478155</wp:posOffset>
            </wp:positionV>
            <wp:extent cx="1843405" cy="436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843405" cy="436880"/>
                    </a:xfrm>
                    <a:prstGeom prst="rect">
                      <a:avLst/>
                    </a:prstGeom>
                    <a:noFill/>
                  </pic:spPr>
                </pic:pic>
              </a:graphicData>
            </a:graphic>
          </wp:anchor>
        </w:drawing>
        <w:drawing>
          <wp:anchor simplePos="0" relativeHeight="251657728" behindDoc="1" locked="0" layoutInCell="0" allowOverlap="1">
            <wp:simplePos x="0" y="0"/>
            <wp:positionH relativeFrom="page">
              <wp:posOffset>5359400</wp:posOffset>
            </wp:positionH>
            <wp:positionV relativeFrom="page">
              <wp:posOffset>319405</wp:posOffset>
            </wp:positionV>
            <wp:extent cx="1660525" cy="755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660525" cy="755015"/>
                    </a:xfrm>
                    <a:prstGeom prst="rect">
                      <a:avLst/>
                    </a:prstGeom>
                    <a:noFill/>
                  </pic:spPr>
                </pic:pic>
              </a:graphicData>
            </a:graphic>
          </wp:anchor>
        </w:drawing>
      </w:r>
    </w:p>
    <w:p>
      <w:pPr>
        <w:spacing w:after="0" w:line="34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Subject to the foregoing and the other matters set forth herein, it is our opinion that when the Shares to be issued and sold by the Company are issued and paid for in accordance with the terms of the Underwriting Agreement, such Shares will be validly issued, fully paid and nonassessable.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consent to the reference to our firm under the caption “Legal Matters” included in the Prospectus and to the filing of this opinion as an exhibit to the Company’s Current Report on Form 8-K to be filed with the Commission on June 4, 2026. In giving such consent, we do not thereby admit that we are in the category of persons whose consent is required under Section 7 of the Act or the rules and regulations of the Commission thereunder.</w:t>
      </w:r>
    </w:p>
    <w:p>
      <w:pPr>
        <w:spacing w:after="0" w:line="19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Sincerely,</w:t>
      </w:r>
    </w:p>
    <w:p>
      <w:pPr>
        <w:spacing w:after="0" w:line="20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/s/ Gunderson Dettmer Stough Villeneuve Franklin &amp;</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Hachigian, LLP</w:t>
      </w:r>
    </w:p>
    <w:p>
      <w:pPr>
        <w:spacing w:after="0" w:line="18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GUNDERSON DETTMER STOUGH</w:t>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VILLENEUVE FRANKLIN &amp; HACHIGIAN,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6866890" cy="532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66890" cy="532130"/>
                    </a:xfrm>
                    <a:prstGeom prst="rect">
                      <a:avLst/>
                    </a:prstGeom>
                    <a:noFill/>
                  </pic:spPr>
                </pic:pic>
              </a:graphicData>
            </a:graphic>
          </wp:anchor>
        </w:drawing>
      </w:r>
    </w:p>
    <w:p>
      <w:pPr>
        <w:sectPr>
          <w:pgSz w:w="11900" w:h="16838" w:orient="portrait"/>
          <w:cols w:equalWidth="0" w:num="1">
            <w:col w:w="10140"/>
          </w:cols>
          <w:pgMar w:left="840" w:top="1440" w:right="9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5859145</wp:posOffset>
            </wp:positionH>
            <wp:positionV relativeFrom="paragraph">
              <wp:posOffset>158750</wp:posOffset>
            </wp:positionV>
            <wp:extent cx="627380" cy="627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380" cy="62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Aeva Technologies, Inc. Launches Proposed Follow-On Offering</w:t>
      </w:r>
    </w:p>
    <w:p>
      <w:pPr>
        <w:spacing w:after="0" w:line="20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MOUNTAIN VIEW, Calif., June 3, 2026 – </w:t>
      </w:r>
      <w:r>
        <w:rPr>
          <w:rFonts w:ascii="Times New Roman" w:cs="Times New Roman" w:eastAsia="Times New Roman" w:hAnsi="Times New Roman"/>
          <w:sz w:val="17"/>
          <w:szCs w:val="17"/>
          <w:u w:val="single" w:color="auto"/>
          <w:color w:val="auto"/>
        </w:rPr>
        <w:t>Aeva Technologies,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(“Aeva” or the “Company”, Nasdaq: AEVA), a leader in next-generation sensing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perception systems, today announced the launch of a proposed follow-on public offering of $100,000,000 of shares of its common stock. The Company expects to grant the underwriters a 30-day option to purchase up to an additional $15,000,000 of shares of its common stock at the public offering price less the underwriting discounts and commissions. The offering is subject to market and other conditions, and there can be no assurance as to whether or when the offering may be completed, or as to the actual size or terms of the offering. The Company expects to use the net proceeds from the offering for general corporate purposes, including to meet the accelerating commercial interest in AI infrastructure and Co-Packaged Optics (CPO) in addition to the growing demand for existing applications.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Goldman Sachs &amp; Co. LLC and Oppenheimer &amp; Co. are acting as book-running managers for the offering.</w:t>
      </w:r>
    </w:p>
    <w:p>
      <w:pPr>
        <w:spacing w:after="0" w:line="20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The securities described above are being offered pursuant to an automatically effective shelf registration statement on Form S-3 that was filed with the U.S. Securities and Exchange Commission (the “SEC”) on June 3, 2026. A preliminary prospectus supplement and accompanying prospectus describing the terms of the proposed offering will be filed with the SEC. When available, copies of the preliminary prospectus supplement and accompanying prospectus may be obtained by contacting Morgan Stanley &amp; Co. LLC, Attention: Prospectus Department, 180 Varick Street, 2nd Floor, New York, NY 10014, or by email to: prospectus@morganstanley.com, Goldman Sachs &amp; Co. LLC, Attention: Prospectus Department, 200 West Street, New York, NY 10282, telephone: 1-866-471-2526, facsimile: 212-902-9316 or by email to: prospectus-ny@ny.email.gs.com or Oppenheimer &amp; Co. Inc., Attention: Syndicate Prospectus Department, 85 Broad Street,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New York, NY 10004, telephone: 212-667-8055, or by email to: EquityProspectus@opco.com.</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Aeva Technologies, Inc. (Nasdaq: AEVA)</w:t>
      </w:r>
    </w:p>
    <w:p>
      <w:pPr>
        <w:spacing w:after="0" w:line="10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Aeva’s mission is to bring the next wave of perception to a broad range of applications from automated driving, manufacturing automation and smart infrastructure, to robotics and consumer devices. Aeva is accelerating autonomy with its groundbreaking perception platform that integrates lidar-on-chip technology, system-on-chip processing, and perception algorithms onto silicon leveraging silicon photonics. Aeva 4D LiDAR sensors uniquely detect velocity and position simultaneously, allowing automated devices like vehicles and robots to make more intelligent and safe decisions.</w:t>
      </w:r>
    </w:p>
    <w:p>
      <w:pPr>
        <w:spacing w:after="0" w:line="254"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i w:val="1"/>
          <w:iCs w:val="1"/>
          <w:color w:val="auto"/>
        </w:rPr>
        <w:t>Aeva, the Aeva logo, Aeva 4D LiDAR, Aeva Atlas, Aeries, Aeva Eve, Aeva Omni, Aeva CityOS, Aeva Ultra Resolution, Aeva CoreVision, and Aeva X1 are trademarks/registered trademarks of Aeva, Inc. All rights reserved. Third-party trademarks are the property of their respective owners.</w:t>
      </w:r>
    </w:p>
    <w:p>
      <w:pPr>
        <w:sectPr>
          <w:pgSz w:w="11900" w:h="16838" w:orient="portrait"/>
          <w:cols w:equalWidth="0" w:num="1">
            <w:col w:w="10200"/>
          </w:cols>
          <w:pgMar w:left="840" w:top="119" w:right="8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715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755" cy="715010"/>
                    </a:xfrm>
                    <a:prstGeom prst="rect">
                      <a:avLst/>
                    </a:prstGeom>
                    <a:noFill/>
                  </pic:spPr>
                </pic:pic>
              </a:graphicData>
            </a:graphic>
          </wp:anchor>
        </w:drawing>
        <w:t>Forward looking statements</w:t>
      </w:r>
    </w:p>
    <w:p>
      <w:pPr>
        <w:spacing w:after="0" w:line="10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Except for historical information, certain statements in this press release, including statements regarding the anticipated size, terms and completion of the proposed offering, are “forward-looking statements” within the meaning of the Private Securities Litigation Reform Act of 1995, and are subject to risks, uncertainties and assumptions about Aeva and its business, including, without limitation, risks and uncertainties related to market conditions, the ability to complete the offering, the expected use of net proceeds from the offering and the satisfaction of the closing conditions related to the offering. Such forward-looking statements involve substantial risks and uncertainties that relate to future events and the actual results could differ significantly from those expressed or implied by the forward-looking statements. Any forward-looking statements are based on Aeva’s current expectations, estimates and assumptions regarding future events and are applicable only as of the dates of such statements. Aeva makes no commitment to revise or update any forward-looking statements in order to reflect events or circumstances that may change, except as required by law. For a further description of the risks and uncertainties that could cause actual results to differ from those expressed in these forward-looking statements, as well as risks relating to Aeva’s business in general, please refer to the “Risk Factors” section in the preliminary prospectus supplement and in Aeva’s Annual Report on Form 10-K filed with the SEC on March 20,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Oldenburg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press@aeva.ai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Andrew Fung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investors@aeva.ai</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w:t>
      </w:r>
    </w:p>
    <w:p>
      <w:pPr>
        <w:sectPr>
          <w:pgSz w:w="11900" w:h="16838" w:orient="portrait"/>
          <w:cols w:equalWidth="0" w:num="1">
            <w:col w:w="10200"/>
          </w:cols>
          <w:pgMar w:left="840" w:top="1383" w:right="8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5859145</wp:posOffset>
            </wp:positionH>
            <wp:positionV relativeFrom="paragraph">
              <wp:posOffset>158750</wp:posOffset>
            </wp:positionV>
            <wp:extent cx="627380" cy="627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7380" cy="62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Aeva Technologies, Inc. Announces Pricing of Follow-On Offering</w:t>
      </w:r>
    </w:p>
    <w:p>
      <w:pPr>
        <w:spacing w:after="0" w:line="20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MOUNTAIN VIEW, Calif., June 3, 2026 – </w:t>
      </w:r>
      <w:r>
        <w:rPr>
          <w:rFonts w:ascii="Times New Roman" w:cs="Times New Roman" w:eastAsia="Times New Roman" w:hAnsi="Times New Roman"/>
          <w:sz w:val="17"/>
          <w:szCs w:val="17"/>
          <w:u w:val="single" w:color="auto"/>
          <w:color w:val="auto"/>
        </w:rPr>
        <w:t>Aeva Technologies,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(“Aeva” or the “Company”, Nasdaq: AEVA), a leader in next-generation sensing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perception systems, today announced the pricing of its follow-on public offering of 4,494,382 shares of its common stock, at a price to the public of $22.25 per share. Closing of the offering is expected to occur on June 5, 2026, subject to customary closing conditions. In addition, the Company has granted the underwriters a 30-day option to purchase up to an additional 674,157 shares of its common stock at the public offering price, less the underwriting discounts and commissions. The Company expects to use the net proceeds from the offering for general corporate purposes, including to meet the accelerating commercial interest in AI infrastructure and Co-Packaged Optics (CPO) in addition to the growing demand for existing applications.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Goldman Sachs &amp; Co. LLC and Oppenheimer &amp; Co. are acting as book-running managers for the offering.</w:t>
      </w:r>
    </w:p>
    <w:p>
      <w:pPr>
        <w:spacing w:after="0" w:line="20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6"/>
          <w:szCs w:val="16"/>
          <w:color w:val="auto"/>
        </w:rPr>
        <w:t>The securities described above are being offered pursuant to an automatically effective shelf registration statement on Form S-3 that was filed with the U.S. Securities and Exchange Commission (the “SEC”) on June 3, 2026. A preliminary prospectus supplement and accompanying prospectus and the final prospectus supplement and accompanying prospectus relating to the offering will be filed with the SEC and may be obtained, when available, by contacting Morgan Stanley &amp; Co. LLC, Attention: Prospectus Department, 180 Varick Street, 2nd Floor, New York, NY 10014, or by email to: prospectus@morganstanley.com, Goldman Sachs &amp; Co. LLC, Attention: Prospectus Department, 200 West Street, New York, NY 10282, telephone: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1-866-471-2526, facsimile: 212-902-9316 or by email to: prospectus-ny@ny.email.gs.com or Oppenheimer &amp; Co. Inc., Attention: Syndicate Prospectus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Department, 85 Broad Street, 26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New York, NY 10004, telephone: 212-667-8055, or by email to: EquityProspectus@opco.com.</w:t>
      </w:r>
    </w:p>
    <w:p>
      <w:pPr>
        <w:spacing w:after="0" w:line="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Aeva Technologies, Inc.</w:t>
      </w:r>
    </w:p>
    <w:p>
      <w:pPr>
        <w:spacing w:after="0" w:line="10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Aeva’s mission is to bring the next wave of perception to a broad range of applications from automated driving, manufacturing automation and smart infrastructure, to robotics and consumer devices. Aeva is accelerating autonomy with its groundbreaking perception platform that integrates lidar-on-chip technology, system-on-chip processing, and perception algorithms onto silicon leveraging silicon photonics. Aeva 4D LiDAR sensors uniquely detect velocity and position simultaneously, allowing automated devices like vehicles and robots to make more intelligent and safe decisions.</w:t>
      </w:r>
    </w:p>
    <w:p>
      <w:pPr>
        <w:sectPr>
          <w:pgSz w:w="11900" w:h="16838" w:orient="portrait"/>
          <w:cols w:equalWidth="0" w:num="1">
            <w:col w:w="10200"/>
          </w:cols>
          <w:pgMar w:left="840" w:top="119" w:right="859" w:bottom="1440" w:gutter="0" w:footer="0" w:header="0"/>
        </w:sectPr>
      </w:pPr>
    </w:p>
    <w:bookmarkStart w:id="38" w:name="page39"/>
    <w:bookmarkEnd w:id="38"/>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88900</wp:posOffset>
            </wp:positionV>
            <wp:extent cx="7183755" cy="7150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755" cy="715010"/>
                    </a:xfrm>
                    <a:prstGeom prst="rect">
                      <a:avLst/>
                    </a:prstGeom>
                    <a:noFill/>
                  </pic:spPr>
                </pic:pic>
              </a:graphicData>
            </a:graphic>
          </wp:anchor>
        </w:drawing>
      </w:r>
    </w:p>
    <w:p>
      <w:pPr>
        <w:ind w:right="140"/>
        <w:spacing w:after="0" w:line="276" w:lineRule="auto"/>
        <w:rPr>
          <w:sz w:val="20"/>
          <w:szCs w:val="20"/>
          <w:color w:val="auto"/>
        </w:rPr>
      </w:pPr>
      <w:r>
        <w:rPr>
          <w:rFonts w:ascii="Times New Roman" w:cs="Times New Roman" w:eastAsia="Times New Roman" w:hAnsi="Times New Roman"/>
          <w:sz w:val="17"/>
          <w:szCs w:val="17"/>
          <w:i w:val="1"/>
          <w:iCs w:val="1"/>
          <w:color w:val="auto"/>
        </w:rPr>
        <w:t>Aeva, the Aeva logo, Aeva 4D LiDAR, Aeva Atlas, Aeries, Aeva Eve, Aeva Omni, Aeva CityOS, Aeva Ultra Resolution, Aeva CoreVision, and Aeva X1 are trademarks/registered trademarks of Aeva, Inc. All rights reserved. Third-party trademarks are the property of their respective owners.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0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Except for historical information, certain statements in this press release, including statements regarding the completion of the offering are “forward-looking statements” within the meaning of the Private Securities Litigation Reform Act of 1995, and are subject to risks, uncertainties and assumptions about Aeva and its business, including, without limitation, the satisfaction of the closing conditions related to the offering, and the expected use of net proceeds from the offering. Such forward-looking statements involve substantial risks and uncertainties that relate to future events and the actual results could differ significantly from those expressed or implied by the forward-looking statements. Any forward-looking statements are based on Aeva’s current expectations, estimates and assumptions regarding future events and are applicable only as of the dates of such statements. Aeva makes no commitment to revise or update any forward-looking statements in order to reflect events or circumstances that may change, except as required by law. For a further description of the risks and uncertainties that could cause actual results to differ from those expressed in these forward-looking statements, as well as risks relating to Aeva’s business in general, please refer to the “Risk Factors” section in the preliminary prospectus supplement and in Aeva’s Annual Report on Form 10-K filed with the SEC on March 20, 2026.</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Oldenburg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press@aeva.ai</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Andrew Fung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investors@aeva.ai</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 #</w:t>
      </w:r>
    </w:p>
    <w:sectPr>
      <w:pgSz w:w="11900" w:h="16838" w:orient="portrait"/>
      <w:cols w:equalWidth="0" w:num="1">
        <w:col w:w="10140"/>
      </w:cols>
      <w:pgMar w:left="840" w:top="144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1"/>
    </w:lvl>
  </w:abstractNum>
  <w:abstractNum w:abstractNumId="2">
    <w:nsid w:val="333AB105"/>
    <w:multiLevelType w:val="hybridMultilevel"/>
    <w:lvl w:ilvl="0">
      <w:lvlJc w:val="left"/>
      <w:lvlText w:val="(%1)"/>
      <w:numFmt w:val="lowerLetter"/>
      <w:start w:val="4"/>
    </w:lvl>
  </w:abstractNum>
  <w:abstractNum w:abstractNumId="3">
    <w:nsid w:val="721DA317"/>
    <w:multiLevelType w:val="hybridMultilevel"/>
    <w:lvl w:ilvl="0">
      <w:lvlJc w:val="left"/>
      <w:lvlText w:val="(%1)"/>
      <w:numFmt w:val="lowerLetter"/>
      <w:start w:val="8"/>
    </w:lvl>
  </w:abstractNum>
  <w:abstractNum w:abstractNumId="4">
    <w:nsid w:val="2443A858"/>
    <w:multiLevelType w:val="hybridMultilevel"/>
    <w:lvl w:ilvl="0">
      <w:lvlJc w:val="left"/>
      <w:lvlText w:val="(%1)"/>
      <w:numFmt w:val="lowerLetter"/>
      <w:start w:val="14"/>
    </w:lvl>
  </w:abstractNum>
  <w:abstractNum w:abstractNumId="5">
    <w:nsid w:val="2D1D5AE9"/>
    <w:multiLevelType w:val="hybridMultilevel"/>
    <w:lvl w:ilvl="0">
      <w:lvlJc w:val="left"/>
      <w:lvlText w:val="(%1)"/>
      <w:numFmt w:val="lowerLetter"/>
      <w:start w:val="20"/>
    </w:lvl>
    <w:lvl w:ilvl="1">
      <w:lvlJc w:val="left"/>
      <w:lvlText w:val="(%2)"/>
      <w:numFmt w:val="upperLetter"/>
      <w:start w:val="1"/>
    </w:lvl>
    <w:lvl w:ilvl="2">
      <w:lvlJc w:val="left"/>
      <w:lvlText w:val="(%3)"/>
      <w:numFmt w:val="lowerLetter"/>
      <w:start w:val="2"/>
    </w:lvl>
    <w:lvl w:ilvl="3">
      <w:lvlJc w:val="left"/>
      <w:lvlText w:val="(%4)"/>
      <w:numFmt w:val="lowerLetter"/>
      <w:start w:val="35"/>
    </w:lvl>
  </w:abstractNum>
  <w:abstractNum w:abstractNumId="6">
    <w:nsid w:val="6763845E"/>
    <w:multiLevelType w:val="hybridMultilevel"/>
    <w:lvl w:ilvl="0">
      <w:lvlJc w:val="left"/>
      <w:lvlText w:val="%1"/>
      <w:numFmt w:val="lowerRoman"/>
      <w:start w:val="1"/>
    </w:lvl>
    <w:lvl w:ilvl="1">
      <w:lvlJc w:val="left"/>
      <w:lvlText w:val="(%2)"/>
      <w:numFmt w:val="lowerLetter"/>
      <w:start w:val="22"/>
    </w:lvl>
    <w:lvl w:ilvl="2">
      <w:lvlJc w:val="left"/>
      <w:lvlText w:val="(%3)"/>
      <w:numFmt w:val="lowerRoman"/>
      <w:start w:val="1"/>
    </w:lvl>
  </w:abstractNum>
  <w:abstractNum w:abstractNumId="7">
    <w:nsid w:val="75A2A8D4"/>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8">
    <w:nsid w:val="8EDBDAB"/>
    <w:multiLevelType w:val="hybridMultilevel"/>
    <w:lvl w:ilvl="0">
      <w:lvlJc w:val="left"/>
      <w:lvlText w:val="%1"/>
      <w:numFmt w:val="decimal"/>
      <w:start w:val="1"/>
    </w:lvl>
    <w:lvl w:ilvl="1">
      <w:lvlJc w:val="left"/>
      <w:lvlText w:val="(%2)"/>
      <w:numFmt w:val="lowerLetter"/>
      <w:start w:val="25"/>
    </w:lvl>
  </w:abstractNum>
  <w:abstractNum w:abstractNumId="9">
    <w:nsid w:val="79838CB2"/>
    <w:multiLevelType w:val="hybridMultilevel"/>
    <w:lvl w:ilvl="0">
      <w:lvlJc w:val="left"/>
      <w:lvlText w:val="(%1)"/>
      <w:numFmt w:val="decimal"/>
      <w:start w:val="1"/>
    </w:lvl>
    <w:lvl w:ilvl="1">
      <w:lvlJc w:val="left"/>
      <w:lvlText w:val="(%2)"/>
      <w:numFmt w:val="lowerLetter"/>
      <w:start w:val="26"/>
    </w:lvl>
  </w:abstractNum>
  <w:abstractNum w:abstractNumId="10">
    <w:nsid w:val="4353D0CD"/>
    <w:multiLevelType w:val="hybridMultilevel"/>
    <w:lvl w:ilvl="0">
      <w:lvlJc w:val="left"/>
      <w:lvlText w:val="(%1)"/>
      <w:numFmt w:val="lowerLetter"/>
      <w:start w:val="27"/>
    </w:lvl>
  </w:abstractNum>
  <w:abstractNum w:abstractNumId="11">
    <w:nsid w:val="B03E0C6"/>
    <w:multiLevelType w:val="hybridMultilevel"/>
    <w:lvl w:ilvl="0">
      <w:lvlJc w:val="left"/>
      <w:lvlText w:val="(%1)"/>
      <w:numFmt w:val="lowerLetter"/>
      <w:start w:val="28"/>
    </w:lvl>
  </w:abstractNum>
  <w:abstractNum w:abstractNumId="12">
    <w:nsid w:val="189A769B"/>
    <w:multiLevelType w:val="hybridMultilevel"/>
    <w:lvl w:ilvl="0">
      <w:lvlJc w:val="left"/>
      <w:lvlText w:val="%1"/>
      <w:numFmt w:val="lowerLetter"/>
      <w:start w:val="1"/>
    </w:lvl>
    <w:lvl w:ilvl="1">
      <w:lvlJc w:val="left"/>
      <w:lvlText w:val="(%2)"/>
      <w:numFmt w:val="lowerLetter"/>
      <w:start w:val="31"/>
    </w:lvl>
  </w:abstractNum>
  <w:abstractNum w:abstractNumId="13">
    <w:nsid w:val="54E49EB4"/>
    <w:multiLevelType w:val="hybridMultilevel"/>
    <w:lvl w:ilvl="0">
      <w:lvlJc w:val="left"/>
      <w:lvlText w:val="(%1)"/>
      <w:numFmt w:val="lowerLetter"/>
      <w:start w:val="9"/>
    </w:lvl>
    <w:lvl w:ilvl="1">
      <w:lvlJc w:val="left"/>
      <w:lvlText w:val="(%2)"/>
      <w:numFmt w:val="lowerLetter"/>
      <w:start w:val="33"/>
    </w:lvl>
  </w:abstractNum>
  <w:abstractNum w:abstractNumId="14">
    <w:nsid w:val="71F32454"/>
    <w:multiLevelType w:val="hybridMultilevel"/>
    <w:lvl w:ilvl="0">
      <w:lvlJc w:val="left"/>
      <w:lvlText w:val="(%1)"/>
      <w:numFmt w:val="lowerRoman"/>
      <w:start w:val="2"/>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3"/>
    </w:lvl>
  </w:abstractNum>
  <w:abstractNum w:abstractNumId="17">
    <w:nsid w:val="2901D82"/>
    <w:multiLevelType w:val="hybridMultilevel"/>
    <w:lvl w:ilvl="0">
      <w:lvlJc w:val="left"/>
      <w:lvlText w:val="%1."/>
      <w:numFmt w:val="decimal"/>
      <w:start w:val="4"/>
    </w:lvl>
  </w:abstractNum>
  <w:abstractNum w:abstractNumId="18">
    <w:nsid w:val="3A95F874"/>
    <w:multiLevelType w:val="hybridMultilevel"/>
    <w:lvl w:ilvl="0">
      <w:lvlJc w:val="left"/>
      <w:lvlText w:val="%1."/>
      <w:numFmt w:val="decimal"/>
      <w:start w:val="5"/>
    </w:lvl>
  </w:abstractNum>
  <w:abstractNum w:abstractNumId="19">
    <w:nsid w:val="8138641"/>
    <w:multiLevelType w:val="hybridMultilevel"/>
    <w:lvl w:ilvl="0">
      <w:lvlJc w:val="left"/>
      <w:lvlText w:val="(%1)"/>
      <w:numFmt w:val="lowerLetter"/>
      <w:start w:val="1"/>
    </w:lvl>
    <w:lvl w:ilvl="1">
      <w:lvlJc w:val="left"/>
      <w:lvlText w:val="(%2)"/>
      <w:numFmt w:val="lowerRoman"/>
      <w:start w:val="1"/>
    </w:lvl>
  </w:abstractNum>
  <w:abstractNum w:abstractNumId="20">
    <w:nsid w:val="1E7FF521"/>
    <w:multiLevelType w:val="hybridMultilevel"/>
    <w:lvl w:ilvl="0">
      <w:lvlJc w:val="left"/>
      <w:lvlText w:val="(%1)"/>
      <w:numFmt w:val="lowerLetter"/>
      <w:start w:val="3"/>
    </w:lvl>
  </w:abstractNum>
  <w:abstractNum w:abstractNumId="21">
    <w:nsid w:val="7C3DBD3D"/>
    <w:multiLevelType w:val="hybridMultilevel"/>
    <w:lvl w:ilvl="0">
      <w:lvlJc w:val="left"/>
      <w:lvlText w:val="(%1)"/>
      <w:numFmt w:val="lowerLetter"/>
      <w:start w:val="5"/>
    </w:lvl>
  </w:abstractNum>
  <w:abstractNum w:abstractNumId="22">
    <w:nsid w:val="737B8DDC"/>
    <w:multiLevelType w:val="hybridMultilevel"/>
    <w:lvl w:ilvl="0">
      <w:lvlJc w:val="left"/>
      <w:lvlText w:val="(%1)"/>
      <w:numFmt w:val="lowerLetter"/>
      <w:start w:val="8"/>
    </w:lvl>
    <w:lvl w:ilvl="1">
      <w:lvlJc w:val="left"/>
      <w:lvlText w:val="(%2)"/>
      <w:numFmt w:val="lowerRoman"/>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2"/>
    </w:lvl>
  </w:abstractNum>
  <w:abstractNum w:abstractNumId="25">
    <w:nsid w:val="4516DDE9"/>
    <w:multiLevelType w:val="hybridMultilevel"/>
    <w:lvl w:ilvl="0">
      <w:lvlJc w:val="left"/>
      <w:lvlText w:val="(%1)"/>
      <w:numFmt w:val="lowerLetter"/>
      <w:start w:val="7"/>
    </w:lvl>
  </w:abstractNum>
  <w:abstractNum w:abstractNumId="26">
    <w:nsid w:val="3006C83E"/>
    <w:multiLevelType w:val="hybridMultilevel"/>
    <w:lvl w:ilvl="0">
      <w:lvlJc w:val="left"/>
      <w:lvlText w:val="(%1)"/>
      <w:numFmt w:val="lowerLetter"/>
      <w:start w:val="10"/>
    </w:lvl>
  </w:abstractNum>
  <w:abstractNum w:abstractNumId="27">
    <w:nsid w:val="614FD4A1"/>
    <w:multiLevelType w:val="hybridMultilevel"/>
    <w:lvl w:ilvl="0">
      <w:lvlJc w:val="left"/>
      <w:lvlText w:val="%1"/>
      <w:numFmt w:val="decimal"/>
      <w:start w:val="1"/>
    </w:lvl>
    <w:lvl w:ilvl="1">
      <w:lvlJc w:val="left"/>
      <w:lvlText w:val="(%2)"/>
      <w:numFmt w:val="lowerLetter"/>
      <w:start w:val="10"/>
    </w:lvl>
  </w:abstractNum>
  <w:abstractNum w:abstractNumId="28">
    <w:nsid w:val="419AC241"/>
    <w:multiLevelType w:val="hybridMultilevel"/>
    <w:lvl w:ilvl="0">
      <w:lvlJc w:val="left"/>
      <w:lvlText w:val="(%1)"/>
      <w:numFmt w:val="decimal"/>
      <w:start w:val="1"/>
    </w:lvl>
    <w:lvl w:ilvl="1">
      <w:lvlJc w:val="left"/>
      <w:lvlText w:val="%2"/>
      <w:numFmt w:val="lowerLetter"/>
      <w:start w:val="1"/>
    </w:lvl>
  </w:abstractNum>
  <w:abstractNum w:abstractNumId="29">
    <w:nsid w:val="5577F8E1"/>
    <w:multiLevelType w:val="hybridMultilevel"/>
    <w:lvl w:ilvl="0">
      <w:lvlJc w:val="left"/>
      <w:lvlText w:val="(%1)"/>
      <w:numFmt w:val="lowerRoman"/>
      <w:start w:val="2"/>
    </w:lvl>
    <w:lvl w:ilvl="1">
      <w:lvlJc w:val="left"/>
      <w:lvlText w:val="%2."/>
      <w:numFmt w:val="decimal"/>
      <w:start w:val="7"/>
    </w:lvl>
  </w:abstractNum>
  <w:abstractNum w:abstractNumId="30">
    <w:nsid w:val="440BADFC"/>
    <w:multiLevelType w:val="hybridMultilevel"/>
    <w:lvl w:ilvl="0">
      <w:lvlJc w:val="left"/>
      <w:lvlText w:val="(%1)"/>
      <w:numFmt w:val="lowerLetter"/>
      <w:start w:val="2"/>
    </w:lvl>
  </w:abstractNum>
  <w:abstractNum w:abstractNumId="31">
    <w:nsid w:val="5072367"/>
    <w:multiLevelType w:val="hybridMultilevel"/>
    <w:lvl w:ilvl="0">
      <w:lvlJc w:val="left"/>
      <w:lvlText w:val="(%1)"/>
      <w:numFmt w:val="lowerLetter"/>
      <w:start w:val="4"/>
    </w:lvl>
  </w:abstractNum>
  <w:abstractNum w:abstractNumId="32">
    <w:nsid w:val="3804823E"/>
    <w:multiLevelType w:val="hybridMultilevel"/>
    <w:lvl w:ilvl="0">
      <w:lvlJc w:val="left"/>
      <w:lvlText w:val="(%1)"/>
      <w:numFmt w:val="lowerLetter"/>
      <w:start w:val="5"/>
    </w:lvl>
  </w:abstractNum>
  <w:abstractNum w:abstractNumId="33">
    <w:nsid w:val="77465F01"/>
    <w:multiLevelType w:val="hybridMultilevel"/>
    <w:lvl w:ilvl="0">
      <w:lvlJc w:val="left"/>
      <w:lvlText w:val="%1."/>
      <w:numFmt w:val="decimal"/>
      <w:start w:val="9"/>
    </w:lvl>
  </w:abstractNum>
  <w:abstractNum w:abstractNumId="34">
    <w:nsid w:val="7724C67E"/>
    <w:multiLevelType w:val="hybridMultilevel"/>
    <w:lvl w:ilvl="0">
      <w:lvlJc w:val="left"/>
      <w:lvlText w:val="%1."/>
      <w:numFmt w:val="decimal"/>
      <w:start w:val="11"/>
    </w:lvl>
  </w:abstractNum>
  <w:abstractNum w:abstractNumId="35">
    <w:nsid w:val="5C482A97"/>
    <w:multiLevelType w:val="hybridMultilevel"/>
    <w:lvl w:ilvl="0">
      <w:lvlJc w:val="left"/>
      <w:lvlText w:val="%1"/>
      <w:numFmt w:val="lowerLetter"/>
      <w:start w:val="1"/>
    </w:lvl>
    <w:lvl w:ilvl="1">
      <w:lvlJc w:val="left"/>
      <w:lvlText w:val="(%2)"/>
      <w:numFmt w:val="lowerLetter"/>
      <w:start w:val="2"/>
    </w:lvl>
  </w:abstractNum>
  <w:abstractNum w:abstractNumId="36">
    <w:nsid w:val="2463B9EA"/>
    <w:multiLevelType w:val="hybridMultilevel"/>
    <w:lvl w:ilvl="0">
      <w:lvlJc w:val="left"/>
      <w:lvlText w:val="(%1)"/>
      <w:numFmt w:val="lowerLetter"/>
      <w:start w:val="61"/>
    </w:lvl>
    <w:lvl w:ilvl="1">
      <w:lvlJc w:val="left"/>
      <w:lvlText w:val="%2"/>
      <w:numFmt w:val="lowerLetter"/>
      <w:start w:val="1"/>
    </w:lvl>
  </w:abstractNum>
  <w:abstractNum w:abstractNumId="37">
    <w:nsid w:val="5E884ADC"/>
    <w:multiLevelType w:val="hybridMultilevel"/>
    <w:lvl w:ilvl="0">
      <w:lvlJc w:val="left"/>
      <w:lvlText w:val="%1."/>
      <w:numFmt w:val="decimal"/>
      <w:start w:val="12"/>
    </w:lvl>
  </w:abstractNum>
  <w:abstractNum w:abstractNumId="38">
    <w:nsid w:val="51EAD36B"/>
    <w:multiLevelType w:val="hybridMultilevel"/>
    <w:lvl w:ilvl="0">
      <w:lvlJc w:val="left"/>
      <w:lvlText w:val="(%1)"/>
      <w:numFmt w:val="lowerLetter"/>
      <w:start w:val="2"/>
    </w:lvl>
  </w:abstractNum>
  <w:abstractNum w:abstractNumId="39">
    <w:nsid w:val="2D51779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2026-06-04T16:25:16Z</dcterms:created>
  <dcterms:modified xsi:type="dcterms:W3CDTF">2026-06-04T16:25:16Z</dcterms:modified>
</cp:coreProperties>
</file>