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778d424b5.htm"/>
        <w:bookmarkStart w:id="1" w:name="ksd91778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333-296469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June 3,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June 3, 2026)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$100,000,000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200785" cy="1640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785" cy="164020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Aeva Technologies, Inc. is offering $100,000,000 of shares of its common stock.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and trades on the Nasdaq Global Select Market under the symbol “AEVA.” On June 2, 2026, the last reported sale price of our common stock on the Nasdaq Global Select Market was $27.76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risks that are described in the “</w:t>
      </w:r>
      <w:hyperlink w:anchor="supptx91778_4">
        <w:r>
          <w:rPr>
            <w:rStyle w:val="InternetLink"/>
            <w:rFonts w:ascii="Times New Roman" w:hAnsi="Times New Roman"/>
            <w:b/>
            <w:sz w:val="24"/>
          </w:rPr>
          <w:t>Risk Factors</w:t>
        </w:r>
      </w:hyperlink>
      <w:r>
        <w:rPr>
          <w:rFonts w:ascii="Times New Roman" w:hAnsi="Times New Roman"/>
          <w:b/>
          <w:sz w:val="24"/>
        </w:rPr>
        <w:t xml:space="preserve">” section beginning on page S-6 of this prospectus supplement, as well as in the accompanying prospectus and the documents incorporated by reference into this prospectus supplement and the accompanying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4469"/>
        <w:gridCol w:w="392"/>
        <w:gridCol w:w="172"/>
        <w:gridCol w:w="1003"/>
        <w:gridCol w:w="74"/>
        <w:gridCol w:w="391"/>
        <w:gridCol w:w="173"/>
        <w:gridCol w:w="1002"/>
        <w:gridCol w:w="79"/>
      </w:tblGrid>
      <w:tr>
        <w:trPr/>
        <w:tc>
          <w:tcPr>
            <w:tcW w:w="446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446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7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4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9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446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9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4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Aeva Technologies, Inc.</w:t>
            </w:r>
          </w:p>
        </w:tc>
        <w:tc>
          <w:tcPr>
            <w:tcW w:w="39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for a description of the compensation payable to the underwriters.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intend to grant the underwriters an option for a period of 30 days to purchase up to $15,000,000 of additional shares of our common stock at the public offering price less the underwriting discounts and commissions.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underwriters expect to deliver the shares against payment in New York, New York on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3214"/>
        <w:gridCol w:w="100"/>
        <w:gridCol w:w="3540"/>
        <w:gridCol w:w="100"/>
        <w:gridCol w:w="3251"/>
      </w:tblGrid>
      <w:tr>
        <w:trPr/>
        <w:tc>
          <w:tcPr>
            <w:tcW w:w="321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bidi w:val="0"/>
              <w:spacing w:before="0" w:after="283"/>
              <w:jc w:val="left"/>
              <w:rPr>
                <w:b/>
              </w:rPr>
            </w:pPr>
            <w:r>
              <w:rPr>
                <w:b/>
              </w:rPr>
              <w:t>Morgan Stanley</w:t>
            </w:r>
          </w:p>
        </w:tc>
        <w:tc>
          <w:tcPr>
            <w:tcW w:w="100" w:type="dxa"/>
            <w:tcBorders/>
            <w:vAlign w:val="bottom"/>
          </w:tcPr>
          <w:p>
            <w:pPr>
              <w:pStyle w:val="TableContents"/>
              <w:bidi w:val="0"/>
              <w:spacing w:before="0" w:after="283"/>
              <w:jc w:val="left"/>
              <w:rPr/>
            </w:pPr>
            <w:r>
              <w:rPr/>
              <w:t> </w:t>
            </w:r>
          </w:p>
        </w:tc>
        <w:tc>
          <w:tcPr>
            <w:tcW w:w="3540" w:type="dxa"/>
            <w:tcBorders/>
          </w:tcPr>
          <w:p>
            <w:pPr>
              <w:pStyle w:val="TableContents"/>
              <w:bidi w:val="0"/>
              <w:spacing w:before="0" w:after="283"/>
              <w:jc w:val="center"/>
              <w:rPr>
                <w:b/>
              </w:rPr>
            </w:pPr>
            <w:r>
              <w:rPr>
                <w:b/>
              </w:rPr>
              <w:t>Goldman Sachs &amp; Co. LLC</w:t>
            </w:r>
          </w:p>
        </w:tc>
        <w:tc>
          <w:tcPr>
            <w:tcW w:w="10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right"/>
              <w:rPr>
                <w:b/>
              </w:rPr>
            </w:pPr>
            <w:r>
              <w:rPr>
                <w:b/>
              </w:rPr>
              <w:t>Oppenheimer &amp; Co.</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Prospectus Supplement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6"/>
        <w:gridCol w:w="243"/>
        <w:gridCol w:w="78"/>
        <w:gridCol w:w="625"/>
        <w:gridCol w:w="63"/>
      </w:tblGrid>
      <w:tr>
        <w:trPr/>
        <w:tc>
          <w:tcPr>
            <w:tcW w:w="919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9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
              <w:r>
                <w:rPr>
                  <w:rStyle w:val="InternetLink"/>
                  <w:rFonts w:ascii="Times New Roman" w:hAnsi="Times New Roman"/>
                  <w:sz w:val="20"/>
                </w:rPr>
                <w:t>ABOUT THIS PROSPECTUS SUPPLEMENT</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2">
              <w:r>
                <w:rPr>
                  <w:rStyle w:val="InternetLink"/>
                  <w:rFonts w:ascii="Times New Roman" w:hAnsi="Times New Roman"/>
                  <w:sz w:val="20"/>
                </w:rPr>
                <w:t>PROSPECTUS SUPPLEMENT SUMMARY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3">
              <w:r>
                <w:rPr>
                  <w:rStyle w:val="InternetLink"/>
                  <w:rFonts w:ascii="Times New Roman" w:hAnsi="Times New Roman"/>
                  <w:sz w:val="20"/>
                </w:rPr>
                <w:t>THE OFFERING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S-4</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4">
              <w:r>
                <w:rPr>
                  <w:rStyle w:val="InternetLink"/>
                  <w:rFonts w:ascii="Times New Roman" w:hAnsi="Times New Roman"/>
                  <w:sz w:val="20"/>
                </w:rPr>
                <w:t>RISK FACTORS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S-6</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5">
              <w:r>
                <w:rPr>
                  <w:rStyle w:val="InternetLink"/>
                  <w:rFonts w:ascii="Times New Roman" w:hAnsi="Times New Roman"/>
                  <w:sz w:val="20"/>
                </w:rPr>
                <w:t>SPECIAL NOTE REGARDING FORWARD-LOOKING STATEMENTS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6">
              <w:r>
                <w:rPr>
                  <w:rStyle w:val="InternetLink"/>
                  <w:rFonts w:ascii="Times New Roman" w:hAnsi="Times New Roman"/>
                  <w:sz w:val="20"/>
                </w:rPr>
                <w:t>USE OF PROCEEDS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S-10</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7">
              <w:r>
                <w:rPr>
                  <w:rStyle w:val="InternetLink"/>
                  <w:rFonts w:ascii="Times New Roman" w:hAnsi="Times New Roman"/>
                  <w:sz w:val="20"/>
                </w:rPr>
                <w:t>DIVIDEND POLICY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8">
              <w:r>
                <w:rPr>
                  <w:rStyle w:val="InternetLink"/>
                  <w:rFonts w:ascii="Times New Roman" w:hAnsi="Times New Roman"/>
                  <w:sz w:val="20"/>
                </w:rPr>
                <w:t>CAPITALIZATION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9">
              <w:r>
                <w:rPr>
                  <w:rStyle w:val="InternetLink"/>
                  <w:rFonts w:ascii="Times New Roman" w:hAnsi="Times New Roman"/>
                  <w:sz w:val="20"/>
                </w:rPr>
                <w:t>DILUTION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S-14</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0">
              <w:r>
                <w:rPr>
                  <w:rStyle w:val="InternetLink"/>
                  <w:rFonts w:ascii="Times New Roman" w:hAnsi="Times New Roman"/>
                  <w:sz w:val="20"/>
                </w:rPr>
                <w:t>MATERIAL U.S. FEDERAL INCOME TAX CONSEQUENCES FOR NON-U.S. HOLDERS OF OUR COMMON STOCK</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S-16</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1">
              <w:r>
                <w:rPr>
                  <w:rStyle w:val="InternetLink"/>
                  <w:rFonts w:ascii="Times New Roman" w:hAnsi="Times New Roman"/>
                  <w:sz w:val="20"/>
                </w:rPr>
                <w:t>UNDERWRITING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S-20</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2">
              <w:r>
                <w:rPr>
                  <w:rStyle w:val="InternetLink"/>
                  <w:rFonts w:ascii="Times New Roman" w:hAnsi="Times New Roman"/>
                  <w:sz w:val="20"/>
                </w:rPr>
                <w:t>LEGAL MATTERS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S-29</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3">
              <w:r>
                <w:rPr>
                  <w:rStyle w:val="InternetLink"/>
                  <w:rFonts w:ascii="Times New Roman" w:hAnsi="Times New Roman"/>
                  <w:sz w:val="20"/>
                </w:rPr>
                <w:t>EXPERTS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S-29</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4">
              <w:r>
                <w:rPr>
                  <w:rStyle w:val="InternetLink"/>
                  <w:rFonts w:ascii="Times New Roman" w:hAnsi="Times New Roman"/>
                  <w:sz w:val="20"/>
                </w:rPr>
                <w:t>WHERE YOU CAN FIND MORE INFORMATION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S-30</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91778_15">
              <w:r>
                <w:rPr>
                  <w:rStyle w:val="InternetLink"/>
                  <w:rFonts w:ascii="Times New Roman" w:hAnsi="Times New Roman"/>
                  <w:sz w:val="20"/>
                </w:rPr>
                <w:t>INCORPORATION BY REFERENCE</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2">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3">
              <w:r>
                <w:rPr>
                  <w:rStyle w:val="InternetLink"/>
                  <w:rFonts w:ascii="Times New Roman" w:hAnsi="Times New Roman"/>
                  <w:sz w:val="20"/>
                </w:rPr>
                <w:t>Aeva Technologies,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6">
              <w:r>
                <w:rPr>
                  <w:rStyle w:val="InternetLink"/>
                  <w:rFonts w:ascii="Times New Roman" w:hAnsi="Times New Roman"/>
                  <w:sz w:val="20"/>
                </w:rPr>
                <w:t>Additional Selling Stockholders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7">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8">
              <w:r>
                <w:rPr>
                  <w:rStyle w:val="InternetLink"/>
                  <w:rFonts w:ascii="Times New Roman" w:hAnsi="Times New Roman"/>
                  <w:sz w:val="20"/>
                </w:rPr>
                <w:t>Description of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0">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1">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2">
              <w:r>
                <w:rPr>
                  <w:rStyle w:val="InternetLink"/>
                  <w:rFonts w:ascii="Times New Roman" w:hAnsi="Times New Roman"/>
                  <w:sz w:val="20"/>
                </w:rPr>
                <w:t>Selling Stockholder</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5">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6">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9177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and the accompanying prospectus, as permitted by law, we “incorporate by reference” information from other documents that we file with the Securities and Exchange Commission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most recently with the SEC.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 other person to provide you with any information other than that contained or incorporated by reference into this prospectus supplement,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and “Incorporation by Reference” in this prospectus supplement and in the accompanying prospectus,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unless the context otherwise requires, references to “Aeva,” “company,” “we,” “us” and “our” refer to Aeva Technologies,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w:t>
      </w:r>
    </w:p>
    <w:p>
      <w:pPr>
        <w:pStyle w:val="TextBody"/>
        <w:bidi w:val="0"/>
        <w:spacing w:before="240" w:after="0"/>
        <w:jc w:val="left"/>
        <w:rPr>
          <w:rFonts w:ascii="Times New Roman" w:hAnsi="Times New Roman"/>
          <w:sz w:val="20"/>
        </w:rPr>
      </w:pPr>
      <w:r>
        <w:rPr>
          <w:rFonts w:ascii="Times New Roman" w:hAnsi="Times New Roman"/>
          <w:sz w:val="20"/>
        </w:rPr>
        <w:t xml:space="preserve">All trademarks, service marks and trade names appearing in this prospectus supplement are the property of their respective holders. Use or display by us of other parties’ trademarks, trade dress, or products in this prospectus supplement is not intended to, and does not, imply a relationship with, or endorsements or sponsorship of, us by the trademark or trade dress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91778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sections titled “Risk Factors” included or incorporated by reference in this prospectus supplement, the accompanying prospectus and any related free writing prospectus in their entirety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manufacturing automation and smart infrastructure, robotics and consumer devices. Our 4D LiDAR-on-chip combines silicon photonics technology that is proven in the telecom industry with precise instant velocity measurements and long-range performance for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vehicles to see at significantly higher distances of up to 500 meters.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Aeva Technologies, Inc. was originally incorporated in Delaware as a special purpose acquisition company on August 16, 2019 under the name InterPrivate Acquisition Corp. (“IPV”). On March 12, 2021, the Company consummated a business combination (the “Business Combination”) with Aeva, Inc. In connection with the consummation of the Business Combination, the Company changed its name from IPV to Aeva Technologies, Inc. The Company’s common stock is listed on the Nasdaq Global Select Market under the symbol “AEVA”.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Aeva is a Delaware corporation. Our principal offices are located at 555 Ellis Street, Mountain View, CA 94043, and our telephone number is (650) 481-7070. Our website address is https://www.aeva.com. Information contained on or accessible through our website is not part of this prospectus supplement and is not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91778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Aeva Technologies,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$100,000,000 of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7" w:type="dxa"/>
            <w:tcBorders/>
          </w:tcPr>
          <w:p>
            <w:pPr>
              <w:pStyle w:val="TableContents"/>
              <w:bidi w:val="0"/>
              <w:spacing w:before="0" w:after="283"/>
              <w:jc w:val="left"/>
              <w:rPr/>
            </w:pPr>
            <w:r>
              <w:rPr/>
              <w:t xml:space="preserve">      </w:t>
            </w:r>
            <w:r>
              <w:rPr/>
              <w:t xml:space="preserve">shares of our common stock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7" w:type="dxa"/>
            <w:tcBorders/>
          </w:tcPr>
          <w:p>
            <w:pPr>
              <w:pStyle w:val="TableContents"/>
              <w:bidi w:val="0"/>
              <w:spacing w:before="0" w:after="283"/>
              <w:jc w:val="left"/>
              <w:rPr/>
            </w:pPr>
            <w:r>
              <w:rPr/>
              <w:t xml:space="preserve">We intend to grant the underwriters an option for a period of 30 days to purchase up to $15,000,000 of additional shares of our common stock. The underwriters can exercise this option at any time within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$     million, after deducting estimated underwriting discounts and commissions and estimated offering expenses payable by us (or approximately $    million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currently intend to use the net proceeds from this offering for general corporate purposes, including to meet the accelerating commercial interest in AI infrastructure and Co-Packaged Optics (CPO) in addition to the growing demand for existing applications. See “Use of Proceeds” on page S-10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See “Risk Factors” on page S-6 of this prospectus supplement, page 5 of the accompanying prospectus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9" w:type="dxa"/>
            <w:tcBorders/>
          </w:tcPr>
          <w:p>
            <w:pPr>
              <w:pStyle w:val="TableContents"/>
              <w:bidi w:val="0"/>
              <w:spacing w:before="0" w:after="283"/>
              <w:jc w:val="left"/>
              <w:rPr/>
            </w:pPr>
            <w:r>
              <w:rPr/>
              <w:t>“</w:t>
            </w:r>
            <w:r>
              <w:rPr/>
              <w:t xml:space="preserve">AEVA”.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is based on 62,984,603 shares of our common stock outstanding as of March 31, 2026, and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2,307,265 shares of common stock issuable upon the exercise of stock options outstanding as of March 31, 2026, with a weighted-average exercise price of $2.82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6,098,455 shares of common stock issuable upon the vesting and settlement of restricted stock units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735,294 shares of common stock issuable upon the vesting and settlement of performance-based restricted stock units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1,897,916 shares of common stock issuable upon the vesting and settlement of restricted stock units granted after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1,599,770 shares of common stock issuable upon the vesting and settlement of performance-based restricted stock units granted after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3,000,000 shares of common stock issuable upon the exercise of Series A warrants outstanding as of March 31, 2026, with an exercise price of $5.00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our 4.375% Convertible Senior Notes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149,038 shares of common stock paid in May 2026 as interest on the Notes and any shares of common stock that we may in the future pay as interest on the Notes at our election;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11,325,642 shares of common stock reserved for issuance under our 2022 Employee Stock Purchase Plan (the “ESPP”), as of March 31, 2026, as well as any automatic increases in the number of shares of common stock reserved for future issuance under the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the outstanding stock options, warrants, convertible notes, restricted stock units or performance-based restricted stock units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9177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is speculative and involves a high degree of risk. Before investing in our securities, you should consider carefully the risks described below, together with the risks described in the section entitled “Risk Factors” in our Annual Report on Form 10-K for the year ended December 31, 2025,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our securities in this offering, you will incur immediate and substantial dilution in the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securities in this offering will pay a price per share that substantially exceeds the as adjusted net tangible book value per share of our common stock. As a result, investors purchasing securities in this offering will incur immediate dilution of $     per share (or $     per share if the underwriters exercise their option to purchase additional shares in full), representing the difference between the public offering price of $     and our as adjusted net tangible book value per share as of March 31, 2026. To the extent outstanding options or warrants to purchase shares of our common stock are exercised, or restricted stock units are settled in shares of our common stock, investors in this offering may incur further dilution. For more information on the dilution you may suffer as a result of investing in this offering, see the section of this prospectus supplement entitled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interest-bearing, investment-grade securities, certificates of deposit or government securities.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sell shares of our common stock in future financings, stockholders may experience immediate dilution and, as a result, our stock price may decline.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stockholders would experience additional dilution and, as a result, our stock price may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Future sales of our common stock, or the perception that such sales may occur, could depress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After this offering, we will have      outstanding shares of our common stock, based on the number of shares outstanding as of March 31, 2026 and assuming that the underwriters do not exercise their option to purchase additional shares of common stock. All of the shares of common stock sold in this offering will be available for sale in the public market, unless purchased by our affiliates or existing stockholders who are subject to lock-up restrictions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our executive officers and directors have agreed that, among other things and subject to certain exceptions, during the period ending 60 days after the date of this prospectus supplement, we and they will not offer, sell, dispose of or hedge any shares of our common stock, subject to specified limited exceptions, without, in each case, the prior written consent of Morgan Stanley &amp; Co. LLC, who may release any of the securities subject to these lock-up agreements at any time without notice. Shares held by directors, executive officers and other affiliates will be subject to volume limitations under Rule 144 under the Securities Act of 1933, as amended (the “Securities Act”), and various vesting agreements.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registration statement registering under the Securities Act the shares of our common stock reserved for issuance under our 2021 Incentive Award Plan, as amended, and our ESPP, including shares issuable upon exercise of outstanding options. These shares can be freely sold in the public market upon issuance, subject to volume limitations applicable to affiliates and the lock-up agreements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that future sales of common stock or other equity-related securities would have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91778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and any prospectus supplement contain or may contain forward-looking statements within the meaning of Section 27A of the Securities Act, and Section 21E of the Securities Exchange Act of 1934, as amended (the “Exchange Act”), which statements involve substantial risk and uncertainties. All statements contained in this prospectus supplement or accompanying prospectus and any incorporated by reference herein or therein other than statements of historical fact, including statements regarding our future results of operations and financial position, our business strategy and plans, our objectives for future operations and our anticipated use of proceeds from this offering,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history of losses, and limited sales; the risk our programs are not fully developed and commercialized, or if such programs experience significant delays; our limited operating history; the risk that our strategic initiatives designed to grow our business, including our selection by a top European passenger original equipment manufacturer and our strategic collaboration with LG Innotek Co., Ltd., may not be successful or may prove more costly than we currently anticipate; the risk our products are not selected for inclusion in development programs for assisted driving systems or autonomous driving systems , industrial automation, consumer device, robotics and security applications, or are not adopted by customers; the lengthy period of time from a design win to implementation, and the risks of cancellation or postponement of the contract or unsuccessful implementation; the risk our forward looking estimates of certain financial metrics, including but not limited to Order Book, may prove inaccurate; the risk that we may be unable to effectively manage our supply chain; the risk that the complexity of our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 continued pricing pressures, automotive original equipment manufacturer (“OEM”) cost reduction initiatives and the ability of automotive OEMs to re-source or cancel vehicle or technology programs; the risks relating to incurring substantial R&amp;D costs and devoting significant resources to identifying and commercializing new products; uncertainty related to the market adoption of LiDAR, including Aeva’s 4D LiDAR technology; the risk our transition to an outsourced manufacturing business model may not be successful; risks related to product liability or warranty claims that could result in significant direct or indirect costs to us; the risk of our high dependence on the services of Soroush Salehian Dardashti and Mina Rezk, our two founders; the potential interruption or failure of our information technology and communication systems and cybersecurity risks to our operational systems, security systems, infrastructure, integrated software in our LiDAR solutions and those risks described under “Risk Factors” of this prospectus supplement, the accompanying prospectus, and in our Annual Report on Form 10-K for the year ended December 31, 2026 as well as any periodic report incorporated by reference in this prospectus supplement or the accompanying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The forward-looking statements contained in this prospectus, any prospectus supplement, the information incorporated by reference in this prospectus or any prospectus supplement, or any free writing prospectus we may authorize are based on information currently available to us and expectations and assumptions that we deem reasonable at the time the statements were made. We do not undertake any obligation to update any forward-looking statements in this prospectus, any prospectus supplement, including the information incorporated by reference in this prospectus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prospectus supplement, any free writing prospectus we may authorize or in any of our other communications, except as required by law. Such forward-looking statements are subject to risks, uncertainties (some of which are beyond our control)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91778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net proceeds from this offering will be approximately $    million, or approximately $    million if the underwriters exercise their option to purchase additional shares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for general corporate purposes including to meet the accelerating commercial interest in AI infrastructure and Co-Packaged Optics (CPO) in addition to the growing demand for existing applications. </w:t>
      </w:r>
    </w:p>
    <w:p>
      <w:pPr>
        <w:pStyle w:val="TextBody"/>
        <w:bidi w:val="0"/>
        <w:spacing w:before="240" w:after="0"/>
        <w:jc w:val="left"/>
        <w:rPr>
          <w:rFonts w:ascii="Times New Roman" w:hAnsi="Times New Roman"/>
          <w:sz w:val="20"/>
        </w:rPr>
      </w:pPr>
      <w:r>
        <w:rPr>
          <w:rFonts w:ascii="Times New Roman" w:hAnsi="Times New Roman"/>
          <w:sz w:val="20"/>
        </w:rPr>
        <w:t xml:space="preserve">Pending our use of the net proceeds from this offering, we plan to invest the net proceeds in interest-bearing, investment-grade securities, certificates of deposit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91778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for use in the operation of our business and do not anticipate paying any cash dividends on our common stock in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91778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the issuance and sale by us of     shares of common stock in this offering, at the public offering price of $    per share, after deducting underwriting discounts and commissions and estimated offering expenses payable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in conjunction with the sections titled “Management’s Discussion and Analysis of Financial Condition and Results of Operations” and our financial statements and related notes appearing in our Annual Report on Form 10-K for the year ended December 31, 2205 and our Quarterly Report on Form 10-Q for the quarter ended March 31, 2026, which are incorporated by reference in this prospectus supplement and the accompanying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66"/>
        <w:gridCol w:w="439"/>
        <w:gridCol w:w="140"/>
        <w:gridCol w:w="915"/>
        <w:gridCol w:w="166"/>
        <w:gridCol w:w="439"/>
        <w:gridCol w:w="218"/>
        <w:gridCol w:w="1107"/>
        <w:gridCol w:w="65"/>
      </w:tblGrid>
      <w:tr>
        <w:trPr/>
        <w:tc>
          <w:tcPr>
            <w:tcW w:w="4266"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9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65"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5"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98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(unaudited)</w:t>
            </w:r>
          </w:p>
          <w:p>
            <w:pPr>
              <w:pStyle w:val="TableContents"/>
              <w:bidi w:val="0"/>
              <w:spacing w:before="0" w:after="20"/>
              <w:jc w:val="center"/>
              <w:rPr>
                <w:rFonts w:ascii="Times New Roman" w:hAnsi="Times New Roman"/>
                <w:b/>
                <w:sz w:val="16"/>
              </w:rPr>
            </w:pPr>
            <w:r>
              <w:rPr>
                <w:rFonts w:ascii="Times New Roman" w:hAnsi="Times New Roman"/>
                <w:b/>
                <w:sz w:val="16"/>
              </w:rPr>
              <w:t>(in thousands, except share data)</w:t>
            </w:r>
          </w:p>
        </w:tc>
        <w:tc>
          <w:tcPr>
            <w:tcW w:w="65"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31,176</w:t>
            </w:r>
          </w:p>
        </w:tc>
        <w:tc>
          <w:tcPr>
            <w:tcW w:w="166"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96,793</w:t>
            </w:r>
          </w:p>
        </w:tc>
        <w:tc>
          <w:tcPr>
            <w:tcW w:w="1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96,793</w:t>
            </w:r>
          </w:p>
        </w:tc>
        <w:tc>
          <w:tcPr>
            <w:tcW w:w="65"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4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3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422,000,000 shares authorized; 62,984,603 shares issued and outstanding, actual; shares issued and outstanding, as adjusted</w:t>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w:t>
            </w:r>
          </w:p>
        </w:tc>
        <w:tc>
          <w:tcPr>
            <w:tcW w:w="1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779,883</w:t>
            </w:r>
          </w:p>
        </w:tc>
        <w:tc>
          <w:tcPr>
            <w:tcW w:w="166"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(30</w:t>
            </w:r>
          </w:p>
        </w:tc>
        <w:tc>
          <w:tcPr>
            <w:tcW w:w="1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(792,268</w:t>
            </w:r>
          </w:p>
        </w:tc>
        <w:tc>
          <w:tcPr>
            <w:tcW w:w="166"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(12,409</w:t>
            </w:r>
          </w:p>
        </w:tc>
        <w:tc>
          <w:tcPr>
            <w:tcW w:w="166"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84,384</w:t>
            </w:r>
          </w:p>
        </w:tc>
        <w:tc>
          <w:tcPr>
            <w:tcW w:w="166"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issued and outstanding as of March 31, 2026 as reported in the table above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2,307,265 shares of common stock issuable upon the exercise of stock options outstanding as of March 31, 2026, with a weighted-average exercise price of $2.82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6,098,455 shares of common stock issuable upon the vesting and settlement of restricted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735,294 shares of common stock issuable upon the vesting and settlement of performance-based restricted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1,897,916 shares of common stock issuable upon the vesting and settlement of restricted stock units granted after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1,599,770 shares of common stock issuable upon the vesting and settlement of performance-based restricted stock units granted after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3,000,000 shares of common stock issuable upon the exercise of Series A warrants outstanding as of March 31, 2026, with an exercise price of $5.00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our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149,038 shares of common stock paid in May 2026 as interest on the Notes and any shares of common stock that we may in the future pay as interest on the Notes at our election;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11,325,642 shares of common stock reserved for issuance under our ESPP, as of March 31, 2026, as well as any automatic increases in the number of shares of common stock reserved for future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91778_9"/>
      <w:bookmarkEnd w:id="11"/>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March 31, 2026, our historical net tangible book value was approximately $(13.0) million, or $(0.21) per share of common stock, based on 62,984,603 shares of common stock outstanding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    shares of common stock at the public offering price of $     per share, and after deducting estimated underwriting discounts and commissions and estimated offering expenses payable by us, our as adjusted net tangible book value as of March 31, 2026 would have been approximately $     million, or $     per share of our common stock. This amount represents an immediate increase in as adjusted net tangible book value of $     per share to our existing stockholders and an immediate dilution of $     per share to investors participating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91"/>
        <w:gridCol w:w="398"/>
        <w:gridCol w:w="140"/>
        <w:gridCol w:w="1098"/>
        <w:gridCol w:w="60"/>
        <w:gridCol w:w="398"/>
        <w:gridCol w:w="140"/>
        <w:gridCol w:w="1083"/>
        <w:gridCol w:w="64"/>
      </w:tblGrid>
      <w:tr>
        <w:trPr/>
        <w:tc>
          <w:tcPr>
            <w:tcW w:w="5191"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191"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2026</w:t>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8" w:type="dxa"/>
            <w:tcBorders/>
            <w:vAlign w:val="bottom"/>
          </w:tcPr>
          <w:p>
            <w:pPr>
              <w:pStyle w:val="TableContents"/>
              <w:bidi w:val="0"/>
              <w:spacing w:before="0" w:after="283"/>
              <w:jc w:val="right"/>
              <w:rPr/>
            </w:pPr>
            <w:r>
              <w:rPr/>
              <w:t>  </w:t>
            </w:r>
            <w:r>
              <w:rPr/>
              <w:t>(0.21)</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new investors in this offering</w:t>
            </w:r>
          </w:p>
        </w:tc>
        <w:tc>
          <w:tcPr>
            <w:tcW w:w="3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9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9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2026, immediately after this offering</w:t>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9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19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adjusted net tangible book value would be $      per share, the increase in the net tangible book value per share for existing stockholders would be $     per share and the dilution to new investors participating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the historical net tangible book value calculation) are based on 62,984,603 shares of our common stock outstanding as of March 31, 2026,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2,307,265 shares of common stock issuable upon the exercise of stock options outstanding as of March 31, 2026, with a weighted-average exercise price of $2.82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6,098,455 shares of common stock issuable upon the vesting and settlement of restricted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735,294 shares of common stock issuable upon the vesting and settlement of performance-based restricted stock units outstanding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1,897,916 shares of common stock issuable upon the vesting and settlement of restricted stock units granted after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1,599,770 shares of common stock issuable upon the vesting and settlement of performance-based restricted stock units granted after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3,000,000 shares of common stock issuable upon the exercise of Series A warrants outstanding as of March 31, 2026, with an exercise price of $5.00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our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149,038 shares of common stock paid in May 2026 as interest on the Notes and any shares of common stock that we may in the future pay as interest on the Notes at our election;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11,325,642 shares of common stock reserved for issuance under our ESPP, as of March 31, 2026, as well as any automatic increases in the number of shares of common stock reserved for future issuance under the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warrants, stock options or RSUs are exercised or settled, as the case may be,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91778_10"/>
      <w:bookmarkEnd w:id="12"/>
      <w:r>
        <w:rPr>
          <w:rFonts w:ascii="Times New Roman" w:hAnsi="Times New Roman"/>
          <w:b/>
          <w:sz w:val="20"/>
        </w:rPr>
        <w:t xml:space="preserve">MATERIAL U.S. FEDERAL INCOME TAX CONSEQUENCES FOR 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the material U.S. federal income tax consequences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the United States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includable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as defined under the Code (as defined below), have the authority to control all substantial decisions of the trust or (ii) such trust has made a valid election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Internal Revenue Code of 1986, as amended (the “Code”), existing, temporary and proposed Treasury Regulations promulgated thereunder, published administrative pronouncements of the Internal Revenue Service or, the IRS, and other applicable authorities, all of which are subject to change or to differing interpretation, possibly with retroactive effect. Any such change or differing interpretation could alter the tax consequences described in this discussion. There can be no assurance that the IRS will not challenge one or more of the tax consequences described herein, and we have not obtained, nor do we intend to obtain, a ruling with respect to the U.S. federal income tax consequences to a holder of the ownership or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the special tax accounting rules under Section 451(b) of the Code, any U.S. gift or estate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of the purchase, ownership and disposition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SHOULD CONSULT THEIR OWN TAX ADVISORS REGARDING THE APPLICATION OF THE U.S. FEDERAL INCOME AND ESTATE TAX LAWS TO THEIR PARTICULAR SITUATIONS AND THE CONSEQUENCES OF NON-U.S., STATE, OR LOCAL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amount distributed in excess of basis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Non-U.S. holders should consult their own tax advisors regarding their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Any such certifications provided to an applicable withholding agent or intermediary must be updated periodically. If a non-U.S. holder is eligible for a reduced rate of U.S. federal withholding tax under an income tax treaty, such non-U.S. holder may generally obtain a refund or credit of any excess amounts withheld by filing an appropriate claim for a refund with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of fixed base maintained by the non-U.S. holder in the United States, are not subject to U.S. withholding tax. To obtain this exemption, a non-U.S. holder must provide us or our paying agent with an IRS Form W-8ECI (or any successor or substitute form thereof) properly certifying that such dividends are effectively connected with the non-U.S. holder’s conduct of a trade or business within the United States. Such effectively connected dividends, although not subject to withholding tax, are taxed at the same U.S. federal income tax rates applicable to U.S. persons, net of certain deductions and credits. In addition, dividends received by a corporate non-U.S. holder that are effectively connected with a U.S. trade or business of the corporate non-U.S. holder may also be subject to a branch profits tax at a rate of 30% or such lower rate as may be specified by an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or Other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“—Foreign Account Tax Compliance Act,” non-U.S. holders will generally not be subject to U.S. federal income tax on any gains realized on the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 is effectively connected with the conduct by the non-U.S. holder of a U.S. trade or business and (ii) if required by an applicable income tax treaty between the United States and the non-U.S. holder’s country of residence, is attributable to a permanent establishment or fixed base maintained by the non-U.S. holder in the United States (in which case the special rules described below apply);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the sale, exchange or other disposition of our common stock, and certain other conditions are met (in which case the net gain would be subject to a flat 30% tax, or such reduced rate as may be specified by an applicable income tax treaty, which may be offset by U.S. source capital losses of such non-U.S. holder, if any, provided the non-U.S. holder has timely filed U.S. federal income tax returns with respect to such losses,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of the Foreign Investment in Real Property Tax Act (“FIRPTA”), treat the gain as effectively connected with a U.S. trade or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property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or fixed base maintained by such non-U.S. holder in the United States, then the gain generally will be subject to U.S. federal income tax at the same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and to each non-U.S. holder the amount of distributions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generally be subject to backup withholding on distributions on our common stock paid to such holder unless such holder certifies under penalties of perjury that, among other things, it is a non-U.S. holder, generally by providing an applicable and properly completed IRS Form W-8BEN, IRS Form W-8BEN-E, or IRS Form W-8ECI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(“FATCA”), withholding tax of 30% applies to certain payments to foreign financial institutions, including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OWN TAX ADVISORS REGARDING THE POTENTIAL APPLICATION OF WITHHOLDING UNDER FATCA TO THEIR INVESTMENT IN OUR COMMON STOCK. THE PRECEDING DISCUSSION OF U.S. FEDERAL INCOME TAX CONSEQUENCES IS FOR GENERAL INFORMATION PURPOSES ONLY. IT IS NOT TAX ADVICE. EACH PROSPECTIVE INVESTOR SHOULD CONSULT ITS OWN TAX ADVISOR REGARDING THE PARTICULAR U.S. FEDERAL, STATE, LOCAL, AND NON-U.S. TAX CONSEQUENCES OF PURCHASING, HOLDING, AND DISPOSING OF OUR COMMON STOCK,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91778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is acting as representative, have severally agreed to purchase, and we have agreed to sell to them, severally, the number of shares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31"/>
        <w:gridCol w:w="565"/>
        <w:gridCol w:w="108"/>
        <w:gridCol w:w="1773"/>
        <w:gridCol w:w="62"/>
      </w:tblGrid>
      <w:tr>
        <w:trPr/>
        <w:tc>
          <w:tcPr>
            <w:tcW w:w="4431"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65" w:type="dxa"/>
            <w:tcBorders/>
            <w:vAlign w:val="bottom"/>
          </w:tcPr>
          <w:p>
            <w:pPr>
              <w:pStyle w:val="TableContents"/>
              <w:bidi w:val="0"/>
              <w:spacing w:before="0" w:after="283"/>
              <w:jc w:val="left"/>
              <w:rPr/>
            </w:pPr>
            <w:r>
              <w:rPr/>
              <w:t>  </w:t>
            </w:r>
          </w:p>
        </w:tc>
        <w:tc>
          <w:tcPr>
            <w:tcW w:w="1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431"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5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5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43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43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 representative are collectively referred to as the “underwriters” and the “representative,”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46"/>
        <w:gridCol w:w="313"/>
        <w:gridCol w:w="141"/>
        <w:gridCol w:w="826"/>
        <w:gridCol w:w="60"/>
        <w:gridCol w:w="313"/>
        <w:gridCol w:w="141"/>
        <w:gridCol w:w="826"/>
        <w:gridCol w:w="60"/>
        <w:gridCol w:w="313"/>
        <w:gridCol w:w="141"/>
        <w:gridCol w:w="826"/>
        <w:gridCol w:w="66"/>
      </w:tblGrid>
      <w:tr>
        <w:trPr/>
        <w:tc>
          <w:tcPr>
            <w:tcW w:w="4546"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6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3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54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6" w:type="dxa"/>
            <w:tcBorders/>
            <w:vAlign w:val="bottom"/>
          </w:tcPr>
          <w:p>
            <w:pPr>
              <w:pStyle w:val="TableContents"/>
              <w:bidi w:val="0"/>
              <w:spacing w:before="0" w:after="283"/>
              <w:jc w:val="left"/>
              <w:rPr/>
            </w:pPr>
            <w:r>
              <w:rPr/>
              <w:t> </w:t>
            </w:r>
          </w:p>
        </w:tc>
      </w:tr>
      <w:tr>
        <w:trPr/>
        <w:tc>
          <w:tcPr>
            <w:tcW w:w="4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1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54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31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1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agreed to reimburse the underwriters for all expenses relating to clearance of this offering with the Financial Industry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“AEVA”.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without the prior written consent of Morgan Stanley &amp; Co. LLC on behalf of the underwriters, we will not, and will not publicly disclose an intention to, during the period ending 60 days after the date of this prospectus supplement (the “restricted period”), (a)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(b) enter into any swap or other arrangement that transfers to another, in whole or in part, any of the economic consequences of ownership of the common stock, whether any such transaction is to be settled by delivery of common stock or such other securities, in cash or otherwise, or (c) file any registration statement with the Securities and Exchange Commission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to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shares to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the Company of shares of common stock upon the exercise of an option or warrant or the conversion of a security outstanding on the date of this prospectus supplement as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grants of options, restricted stock or other compensatory equity awards and the issuance of shares of our common stock in connection with the exercise, vesting and/or settlement of any of the foregoing to our employees, officers, directors, advisors or consultants pursuant to the terms of a plan in effect on the date of this prospectus supplement and as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filing of registration statements on Form S-8 with respect to the employee benefit plans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shares of our common stock in connection with, and entry into agreement with respect to, an “at-the-market” equity offering program, </w:t>
            </w:r>
            <w:r>
              <w:rPr>
                <w:rFonts w:ascii="Times New Roman" w:hAnsi="Times New Roman"/>
                <w:i/>
                <w:sz w:val="20"/>
              </w:rPr>
              <w:t xml:space="preserve">provided </w:t>
            </w:r>
            <w:r>
              <w:rPr>
                <w:rFonts w:ascii="Times New Roman" w:hAnsi="Times New Roman"/>
                <w:sz w:val="20"/>
              </w:rPr>
              <w:t xml:space="preserve">that no sales or issuances under such “at-the-market” program may occur during the restricted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issuances of our common stock as payment of interest on the our outstanding 4.375% Convertible Senior Notes due 2032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directors and officers (each, a “lock-up party” and together, the “lock-up parties”) have agreed that, without the prior written consent of Morgan Stanley &amp; Co. LLC on behalf of the underwriters, they will not, and will not publicly disclose an intention to, during the restricted period, (a)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(b) enter into any swap or other arrangement that transfers to another, in whole or in part, any of the economic consequences of ownership of the common stock, whether any such transaction is to be settled by delivery of common stock or such other securities, in cash or otherwise. The lock-up parties acknowledge and agree that they are precluded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lock-up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restrictions described in the immediately preceding paragraph do not apply to (a) transactions relating to shares of common stock or other securities acquired in open market transactions after the completion of this offering; (b) transfers of shares of common stock or any security convertible into common stock (1) as a bona fide gift or charitable contribution or (2) for bona fide estate planning purposes, in each case, in a transfer not involving a disposition for value; (c) transfers or dispositions of shares of common stock or any security convertible into or exercisable for common stock to any member of the immediate family of the lock-up party or any trust for the direct or indirect benefit of the lock-up party or the immediate family of the lock-up party, or if the lock-up party is a trust, to a trustor, trustee or any beneficiary (including such trustor, trustee or beneficiary’s estate) in a transaction not involving a disposition for value; (d) distributions, transfers or dispositions of shares of common stock or any security convertible into or exercisable for common stock to any corporation, partnership, limited liability company, other entity that is an affiliate of the lock-up party or of which all of the beneficial ownership interests of which are held by the lock-up party or the immediate family of the lock-up party in a transaction not involving a disposition for value; (e) transfers or dispositions of shares of common stock or any security convertible into or exercisable for common stock (1) by will, other testamentary document or intestate succession and (2) by operation of law including, without limitation, pursuant to orders of a court or regulatory agency, in connection with a negotiated divorce settlement, pursuant to a qualified domestic relations order or by other court order; (f) to a nominee or custodian of a person or entity to whom a disposition or transfer would be permissible under the clauses above; (g) distributions, transfers or dispositions of shares of common stock or any security convertible into or exercisable for common stock to limited partners or stockholders of the lock-up party; (h)(1) to us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foregoing restrictions, and provided further that any such restricted stock units, options, warrants or rights are held by the lock-up party pursuant to an agreement or equity awards granted under a stock incentive plan or other equity award plan, each such agreement or plan which is described herein or (2) as a part of sales of stock that we elected to automatically have sold through an approved broker as necessary to satisfy tax withholding requirements upon the vesting of any restricted stock or restricted stock units; (i) pursuant to a bona fide third-party tender offer, merger, consolidation or other similar transaction, that is approved by our board of directors, made to all holders of our capital stock involving a change of control; provided, that, in the event that such tender offer, merger, consolidation or other similar transaction is not completed, the shares of common stock or any securities convertible into or exercisable for common stock beneficially owned by the lock-up party shall remain subject to the foregoing restrictions; (j) transfers or sales of common stock pursuant to any Rule 10b5-1 Plan that has been entered into by a lock-up party prior to the date of this prospectus supplement, provided that any filing required to be made under Section 16(a) of the Exchange Act as a result of such transfer or sale shall state that such transfer or sale is pursuant to a trading plan pursuant to Rule 10b5-1; (k) the establishment of a trading plan on behalf of a shareholder, officer or director pursuant to Rule 10b5-1 under the Exchange Act for the transfer of shares of common stock, provided that (1) such plan does not provide for the transfer of common stock during the restricted period and (2) the extent a public announcement or filing under the Exchange Act, if any, is required of or voluntarily made by or on behalf of a lock-up party or us regarding the establishment of such plan, such announcement or filing shall include a statement to the effect that no transfer of common stock may be made under such plan during the restricted period. Notwithstanding the foregoing, in the case of any transfer or distribution pursuant to clause (b) through (g), each transferee, donee or distributee will be subject to the foregoing restrictions, and provided further that in the case of any transfer or distribution pursuant to clause (c) through (g), no filings under Section 16(a) of the Exchange Act shall be required or voluntarily made.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in its sole discretion, may release the common stock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of common stock shall require us or any underwriter to publish a prospectus pursuant to Article 3 of the Prospectus Regulation or supplement a prospectus pursuant to Article 23 of the Prospectus Regulation.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except that the shares of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offer is conditional on the admission of the shares of common stock to trading on the London Stock Exchange plc’s main market (in reliance on the exception in paragraph 6(a) of Schedule 1 to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in paragraph 15 of Schedule 1 to the POATRs), subject to obtaining the prior consent of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buy or subscribe for any shares of common stock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relevant persons”) or otherwise in circumstances which have not resulted and will not result in an offer to the public of the shares of common stock in the United Kingdom within the meaning of the POATRs. 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an offer to the public or a solicitation to purchase or invest in any shares of common stock. No shares of common stock have been offered or will be offered to the public in Switzerland, except that offers of shares of common stock may be made to the public in Switzerland at any time under the following exemptions under the Swiss Financial Services Act (the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representatives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common stock shall require us or any investment bank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of common stock constitutes a prospectus as such term is understood pursuant to the FinSA and neither this document nor any other offering or marketing material relating to the shares of common stock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(the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of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and will not be registered pursuant to Article 4, Paragraph 1 of the Financial Instruments and Exchange Act (the “FIEA”).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Where the shares of common stock are subscribed or purchased under Section 275 of the SFA by a relevant person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Dubai International Financial Centre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 prospectus under the Israeli Securities Law, 5728-1968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(the “SFO”) of Hong Kong and any rules made thereunder; or (b) in other circumstances which do not result in the document being a “prospectus” as defined in the Companies (Winding Up and Miscellaneous Provisions) Ordinance (Cap. 32) (the “CO”) of Hong Kong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91778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offered in this prospectus supplement will be passed upon for us by Gunderson Dettmer Stough Villeneuve Franklin &amp; Hachigian, LLP, Redwood City, California. Davis Polk &amp; Wardwell LLP, New York, New York, is acting as counsel for the underwriters in connection with this offering. </w:t>
      </w:r>
    </w:p>
    <w:p>
      <w:pPr>
        <w:pStyle w:val="TextBody"/>
        <w:bidi w:val="0"/>
        <w:spacing w:before="480" w:after="0"/>
        <w:jc w:val="center"/>
        <w:rPr>
          <w:rFonts w:ascii="Times New Roman" w:hAnsi="Times New Roman"/>
          <w:b/>
          <w:sz w:val="20"/>
        </w:rPr>
      </w:pPr>
      <w:bookmarkStart w:id="15" w:name="supptx91778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incorporated in this prospectus by reference have been audited by Deloitte &amp; Touche LLP, an independent registered public accounting firm, as stated in their report. Such financial statements are incorporated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91778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https://www.aeva.com. Information accessible on or through our website is not incorporated herein or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https://www.aeva.com.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x91778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29, 2026, that are incorporated by reference into Part III of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period ended March 31, 2026 filed with the SEC on May 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w:t>
            </w:r>
            <w:hyperlink r:id="rId6">
              <w:r>
                <w:rPr>
                  <w:rStyle w:val="InternetLink"/>
                  <w:rFonts w:ascii="Times New Roman" w:hAnsi="Times New Roman"/>
                  <w:sz w:val="20"/>
                </w:rPr>
                <w:t>Form 8-K</w:t>
              </w:r>
            </w:hyperlink>
            <w:r>
              <w:rPr>
                <w:rFonts w:ascii="Times New Roman" w:hAnsi="Times New Roman"/>
                <w:sz w:val="20"/>
              </w:rPr>
              <w:t xml:space="preserve"> filed with the SEC on June 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in </w:t>
            </w:r>
            <w:hyperlink r:id="rId7">
              <w:r>
                <w:rPr>
                  <w:rStyle w:val="InternetLink"/>
                  <w:rFonts w:ascii="Times New Roman" w:hAnsi="Times New Roman"/>
                  <w:sz w:val="20"/>
                </w:rPr>
                <w:t>Exhibit 4.4</w:t>
              </w:r>
            </w:hyperlink>
            <w:r>
              <w:rPr>
                <w:rFonts w:ascii="Times New Roman" w:hAnsi="Times New Roman"/>
                <w:sz w:val="20"/>
              </w:rPr>
              <w:t xml:space="preserve"> of our Annual Report on Form 10-K for the year ended December 31, 2024, filed with the SEC on March 20, 2025,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you with information, or to make any representation, different from that contained or incorporated by reference in this prospectus supplement and the accompanying prospectus, along with the information contained in any free writing prospectus that we have authorized for use in connection with this offering. We and the underwriters take no responsibility for, and can provide no assurance as to the reliability of, any other information that others may give you.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upon written or oral request, at no cost to the requester, a copy of any and all of the information that is incorporated by reference in this prospectus supplement. You should direct any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555 Ellis Street </w:t>
      </w:r>
    </w:p>
    <w:p>
      <w:pPr>
        <w:pStyle w:val="TextBody"/>
        <w:bidi w:val="0"/>
        <w:spacing w:before="0" w:after="0"/>
        <w:jc w:val="center"/>
        <w:rPr>
          <w:rFonts w:ascii="Times New Roman" w:hAnsi="Times New Roman"/>
          <w:sz w:val="20"/>
        </w:rPr>
      </w:pPr>
      <w:r>
        <w:rPr>
          <w:rFonts w:ascii="Times New Roman" w:hAnsi="Times New Roman"/>
          <w:sz w:val="20"/>
        </w:rPr>
        <w:t xml:space="preserve">Mountain View, CA 94043 </w:t>
      </w:r>
    </w:p>
    <w:p>
      <w:pPr>
        <w:pStyle w:val="TextBody"/>
        <w:bidi w:val="0"/>
        <w:spacing w:before="0" w:after="0"/>
        <w:jc w:val="center"/>
        <w:rPr>
          <w:rFonts w:ascii="Times New Roman" w:hAnsi="Times New Roman"/>
          <w:sz w:val="20"/>
        </w:rPr>
      </w:pPr>
      <w:r>
        <w:rPr>
          <w:rFonts w:ascii="Times New Roman" w:hAnsi="Times New Roman"/>
          <w:sz w:val="20"/>
        </w:rPr>
        <w:t xml:space="preserve">(650) 481-7070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43330" cy="16808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243330" cy="168084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120" w:after="0"/>
        <w:jc w:val="center"/>
        <w:rPr>
          <w:rFonts w:ascii="Times New Roman" w:hAnsi="Times New Roman"/>
          <w:b/>
          <w:sz w:val="22"/>
        </w:rPr>
      </w:pPr>
      <w:r>
        <w:rPr>
          <w:rFonts w:ascii="Times New Roman" w:hAnsi="Times New Roman"/>
          <w:b/>
          <w:sz w:val="22"/>
        </w:rPr>
        <w:t xml:space="preserve">Up to 3,509,719 shares of common stock offered by the selling stockholder </w:t>
      </w:r>
    </w:p>
    <w:p>
      <w:pPr>
        <w:pStyle w:val="TextBody"/>
        <w:bidi w:val="0"/>
        <w:spacing w:before="120" w:after="0"/>
        <w:jc w:val="center"/>
        <w:rPr>
          <w:rFonts w:ascii="Times New Roman" w:hAnsi="Times New Roman"/>
          <w:b/>
          <w:sz w:val="22"/>
        </w:rPr>
      </w:pPr>
      <w:r>
        <w:rPr>
          <w:rFonts w:ascii="Times New Roman" w:hAnsi="Times New Roman"/>
          <w:b/>
          <w:sz w:val="22"/>
        </w:rPr>
        <w:t xml:space="preserve">Shares of common stock offered by additional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We may offer and sell from time to time, in one or more offerings, in amounts, at prices and on terms determined at the time of any such offering, (1) shares of our common stock, (2) shares of our preferred stock, which we may issue in one or more series, (3) debt securities, which may be senior debt securities or subordinated debt securities, or (4) warrants to purchase our common stock. </w:t>
      </w:r>
    </w:p>
    <w:p>
      <w:pPr>
        <w:pStyle w:val="TextBody"/>
        <w:bidi w:val="0"/>
        <w:spacing w:before="120" w:after="0"/>
        <w:jc w:val="left"/>
        <w:rPr>
          <w:rFonts w:ascii="Times New Roman" w:hAnsi="Times New Roman"/>
          <w:sz w:val="18"/>
        </w:rPr>
      </w:pPr>
      <w:r>
        <w:rPr>
          <w:rFonts w:ascii="Times New Roman" w:hAnsi="Times New Roman"/>
          <w:sz w:val="18"/>
        </w:rPr>
        <w:t xml:space="preserve">In addition, this prospectus relates to the offer and potential resale from time to time of (1) up to 3,509,719 shares of our common stock (the “resale shares”) held by a selling stockholder (together with its permitted transferees, the “selling stockholder”) in amounts, at prices, and on terms that will be determined at the time of the applicable offering and (2) shares of our common stock held by selling stockholders to be named later (the “additional selling stockholders”). The selling stockholder acquired the resale shares from us pursuant to a subscription agreement dated May 13, 2025. We issued the resale shares to the selling stockholder in reliance upon the exemption from registration afforded by Section 4(a)(2) of the Securities Act of 1933, as amended (the “Securities Act”). Our registration of the shares offered by the selling stockholder or any additional selling stockholder does not mean that such selling stockholder or additional selling stockholder will offer or sell any shares of our common stock. We will not receive any of the proceeds from the sale of our common stock by the selling stockholder or any additional selling stockholder. The selling stockholder and any additional selling stockholder will bear all discounts, concessions, commissions and stock transfer taxes, if any, attributable to its sales of shares of our common stock. </w:t>
      </w:r>
    </w:p>
    <w:p>
      <w:pPr>
        <w:pStyle w:val="TextBody"/>
        <w:bidi w:val="0"/>
        <w:spacing w:before="120" w:after="0"/>
        <w:jc w:val="left"/>
        <w:rPr>
          <w:rFonts w:ascii="Times New Roman" w:hAnsi="Times New Roman"/>
          <w:sz w:val="18"/>
        </w:rPr>
      </w:pPr>
      <w:r>
        <w:rPr>
          <w:rFonts w:ascii="Times New Roman" w:hAnsi="Times New Roman"/>
          <w:sz w:val="18"/>
        </w:rPr>
        <w:t xml:space="preserve">Each time we or any additional selling stockholders sell shares of our common stock, we or such additional selling stockholders will provide the specific terms of the offering, and, if applicable, the additional selling stockholders, in a supplement to this prospectus. This prospectus provides you with a general description of the securities we may offer. The securities may be offered by us at prices and on terms determined at the time of offering. We may also authorize one or more free writing prospectuses to be provided to you in connection with such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by reference herein and therein, before you invest in the securities described in this prospectus. </w:t>
      </w:r>
    </w:p>
    <w:p>
      <w:pPr>
        <w:pStyle w:val="TextBody"/>
        <w:bidi w:val="0"/>
        <w:spacing w:before="120" w:after="0"/>
        <w:jc w:val="left"/>
        <w:rPr>
          <w:rFonts w:ascii="Times New Roman" w:hAnsi="Times New Roman"/>
          <w:sz w:val="18"/>
        </w:rPr>
      </w:pPr>
      <w:r>
        <w:rPr>
          <w:rFonts w:ascii="Times New Roman" w:hAnsi="Times New Roman"/>
          <w:sz w:val="18"/>
        </w:rPr>
        <w:t xml:space="preserve">We, the selling stockholder or any additional selling stockholder may offer and sell the securities described in this prospectus and any prospectus supplement separately or together sale through underwriters, dealers or agents, or directly to purchasers, or through a combination of these methods. See “Plan of Distribution” beginning on page 8 of this prospectus. If any underwriters, dealers or agents are involved in the sale of these securities we will set forth their names and describe their compensation in the applicable prospectus supplement.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$0.0001 par value per share, is listed on The Nasdaq Global Select Market (“Nasdaq”) under the symbol “AEVA.” On June 2, 2026, the closing price of our common stock was $27.76 per share. </w:t>
      </w:r>
    </w:p>
    <w:p>
      <w:pPr>
        <w:pStyle w:val="TextBody"/>
        <w:bidi w:val="0"/>
        <w:spacing w:before="120" w:after="0"/>
        <w:jc w:val="left"/>
        <w:rPr/>
      </w:pPr>
      <w:r>
        <w:rPr>
          <w:rFonts w:ascii="Times New Roman" w:hAnsi="Times New Roman"/>
          <w:b/>
          <w:sz w:val="20"/>
        </w:rPr>
        <w:t>Investing in our securities involves risks. See the section of this prospectus captioned “</w:t>
      </w:r>
      <w:hyperlink w:anchor="rom63287_4">
        <w:r>
          <w:rPr>
            <w:rStyle w:val="InternetLink"/>
            <w:rFonts w:ascii="Times New Roman" w:hAnsi="Times New Roman"/>
            <w:b/>
            <w:sz w:val="20"/>
          </w:rPr>
          <w:t>Risk Factors</w:t>
        </w:r>
      </w:hyperlink>
      <w:r>
        <w:rPr>
          <w:rFonts w:ascii="Times New Roman" w:hAnsi="Times New Roman"/>
          <w:b/>
          <w:sz w:val="20"/>
        </w:rPr>
        <w:t xml:space="preserve">” beginning on page 5, as well as in any applicable prospectus supplement and in our Securities and Exchange Commission (“SEC”) filings that are incorporated by reference herein.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This prospectus may not be used to sell securities unless accompanied by a prospectus supplement. </w:t>
      </w:r>
    </w:p>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is June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2">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3">
              <w:r>
                <w:rPr>
                  <w:rStyle w:val="InternetLink"/>
                  <w:rFonts w:ascii="Times New Roman" w:hAnsi="Times New Roman"/>
                  <w:sz w:val="20"/>
                </w:rPr>
                <w:t>Aeva Technologies,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6">
              <w:r>
                <w:rPr>
                  <w:rStyle w:val="InternetLink"/>
                  <w:rFonts w:ascii="Times New Roman" w:hAnsi="Times New Roman"/>
                  <w:sz w:val="20"/>
                </w:rPr>
                <w:t>Additional Selling Stockholders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7">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8">
              <w:r>
                <w:rPr>
                  <w:rStyle w:val="InternetLink"/>
                  <w:rFonts w:ascii="Times New Roman" w:hAnsi="Times New Roman"/>
                  <w:sz w:val="20"/>
                </w:rPr>
                <w:t>Description of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0">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1">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2">
              <w:r>
                <w:rPr>
                  <w:rStyle w:val="InternetLink"/>
                  <w:rFonts w:ascii="Times New Roman" w:hAnsi="Times New Roman"/>
                  <w:sz w:val="20"/>
                </w:rPr>
                <w:t>Selling Stockholder</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5">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63287_16">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63287_1"/>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contain or may contain forward-looking statements within the meaning of Section 27A of the Securities Act of 1933, as amended (the “Securities Act”), and Section 21E of the Securities Exchange Act of 1934, as amended (the “Exchange Act”), which statements involve substantial risk and uncertainties. All statements contained in this prospectus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history of losses, and limited sales; the risk our programs are not fully developed and commercialized, or if such programs experience significant delays; our limited operating history; the risk that our strategic initiatives designed to grow our business, including our selection by a top European passenger original equipment manufacturer and our strategic collaboration with LG Innotek Co., Ltd., may not be successful or may prove more costly than we currently anticipate; the risk our products are not selected for inclusion in development programs for assisted driving systems or autonomous driving systems , industrial automation, consumer device, robotics and security applications, or are not adopted by customers; the lengthy period of time from a design win to implementation, and the risks of cancellation or postponement of the contract or unsuccessful implementation; the risk our forward looking estimates of certain financial metrics, including but not limited to Order Book, may prove inaccurate; the risk that we may be unable to effectively manage our supply chain; the risk that the complexity of our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 continued pricing pressures, automotive original equipment manufacturer (“OEM”) cost reduction initiatives and the ability of automotive OEMs to re-source or cancel vehicle or technology programs; the risks relating to incurring substantial R&amp;D costs and devoting significant resources to identifying and commercializing new products; uncertainty related to the market adoption of LiDAR, including Aeva’s 4D LiDAR technology; the risk our transition to an outsourced manufacturing business model may not be successful; risks related to product liability or warranty claims that could result in significant direct or indirect costs to us; the risk of our high dependence on the services of Soroush Salehian Dardashti and Mina Rezk, our two founders; the potential interruption or failure of our information technology and communication systems and cybersecurity risks to our operational systems, security systems, infrastructure, integrated software in our LiDAR solutions and those risks described under “Risk Factors” of this prospectus, any prospectus supplement that we may file, and in any Annual Report on Form 10-K and any Quarterly Report on Form 10-Q incorporated by reference in this prospectus or any prospectus supplement.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The forward-looking statements contained in this prospectus, any prospectus supplement, the information incorporated by reference in this prospectus or any prospectus supplement, or any free writing prospectus we may authorize are based on information currently available to us and expectations and assumptions that we deem reasonable at the time the statements were made. We do not undertake any obligation to update any forward-looking statements in this prospectus, any prospectus supplement, including the information incorporated by reference in this prospectus or any prospectus supplement, any free writing prospectus we may authorize or in any of our other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required by law. Such forward-looking statements are subject to risks, uncertainties (some of which are beyond our control)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63287_2"/>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an automatic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may offer and sell any combination of the securities described in this prospectus from time to time in one or more offerings, and the additional selling stockholders to be named in a supplement to this prospectus may offer and sell shares of our common stock from time to time in one or more offerings as described in this prospectus. The selling stockholder may use the shelf registration to sell up to 3,509,719 shares of common stock from time to time through any means described in the section titled “Plan of Distribution.”</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(as supplemented and amended), including the information incorporated by reference, or any free writing prospectus we may authorize. We and/or the selling stockholder provided the information contained in the aforementioned documents only as of the date of the applicable document, and it is possible that the information, including our business, financial condition, and results of operations,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only provides you with a general description of the securities that we, the selling stockholder and/or any additional selling stockholder may offer. Each time we and/or any additional selling stockholder sell securities pursuant to this prospectus, we and/or such additional selling stockholder will provide a prospectus supplement that contains specific information about the terms of the offering, including the specific amounts and prices of the securities offered. In addition, the prospectus supplement may also add, update or change the information contained in this prospectus. If this prospectus is inconsistent with the prospectus supplement, you should rely upon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carefully this prospectus (as supplemented and amended) before deciding whether to purchase the common stock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or the selling stockholder have authorized anyone to provide any information other than that contained or incorporated by reference in this prospectus or in any free writing prospectus prepared by or on behalf of us or to which we have referred you. Neither we nor the selling stockholder take any responsibility for, and can provide no assurance as to the reliability of, any other information that others may give you. Neither we nor the selling stockholder are making an offer of our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the terms “Aeva,” “we,” “us,” “our,” and “the Company” mean Aeva Technologies,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63287_3"/>
      <w:bookmarkEnd w:id="21"/>
      <w:r>
        <w:rPr>
          <w:rFonts w:ascii="Times New Roman" w:hAnsi="Times New Roman"/>
          <w:b/>
          <w:sz w:val="20"/>
        </w:rPr>
        <w:t xml:space="preserve">AEVA TECHNOLOGIES, INC.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 </w:t>
      </w:r>
    </w:p>
    <w:p>
      <w:pPr>
        <w:pStyle w:val="TextBody"/>
        <w:bidi w:val="0"/>
        <w:spacing w:before="240" w:after="0"/>
        <w:jc w:val="left"/>
        <w:rPr>
          <w:rFonts w:ascii="Times New Roman" w:hAnsi="Times New Roman"/>
          <w:sz w:val="20"/>
        </w:rPr>
      </w:pPr>
      <w:r>
        <w:rPr>
          <w:rFonts w:ascii="Times New Roman" w:hAnsi="Times New Roman"/>
          <w:sz w:val="20"/>
        </w:rPr>
        <w:t xml:space="preserve">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manufacturing automation and smart infrastructure, robotics and consumer devices. Our 4D LiDAR-on-chip combines silicon photonics technology that is proven in the telecom industry with precise instant velocity measurements and long-range performance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vehicles to see at significantly higher distances of up to 500 meters.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Aeva Technologies, Inc. was originally incorporated in Delaware as a special purpose acquisition company on August 16, 2019 under the name InterPrivate Acquisition Corp. (“IPV”). On March 12, 2021, the Company consummated a business combination (the “Business Combination”) with Aeva, Inc. In connection with the consummation of the Business Combination, the Company changed its name from IPV to Aeva Technologies, Inc. The Company’s common stock is listed on the Nasdaq Global Select Market under the symbol “AEVA”. </w:t>
      </w:r>
    </w:p>
    <w:p>
      <w:pPr>
        <w:pStyle w:val="TextBody"/>
        <w:bidi w:val="0"/>
        <w:spacing w:before="240" w:after="0"/>
        <w:jc w:val="left"/>
        <w:rPr>
          <w:rFonts w:ascii="Times New Roman" w:hAnsi="Times New Roman"/>
          <w:sz w:val="20"/>
        </w:rPr>
      </w:pPr>
      <w:r>
        <w:rPr>
          <w:rFonts w:ascii="Times New Roman" w:hAnsi="Times New Roman"/>
          <w:sz w:val="20"/>
        </w:rPr>
        <w:t xml:space="preserve">Aeva is a Delaware corporation. Our principal offices are located at 555 Ellis Street, Mountain View, CA 94043, and our telephone number is (650) 481-7070. Our website address is https://www.aeva.com. Information contained on or accessible through our website is not part of this prospectus and is not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63287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purchase our securities,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above titled “Special Note Regarding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stockholder or by our other existing stockholders could cause the price of our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can sell, under this prospectus, up to 3,509,719 shares, representing approximately a 5.6% beneficial ownership interest of our common stock as of March 31, 2026. Sales of a substantial number of our shares of common stock in the public market by the selling stockholder or by our other existing securityholders, or the perception that those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sale of all the securities being offered in this prospectus could result in a significant decline in the public trading price of our securities. In addition, the registration of these shares of common stock for resale creates the possibility of a significant increase in the supply of our common stock in the market. The increased supply, coupled with the potential disparity in purchase prices, may lead to heightened selling pressure, which could negatively affect the public trading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63287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securities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the securities by the selling stockholder or any additional selling stockholder, but in certain cases we may pay fees and expenses relating to the registration or an offering of such securities, such as registration and filing fees, fees and expenses for complying with federal and state securities laws and Nasdaq rules and regulations, and fees and expenses incurred in connection with a listing, if any, of any of the securities on any securities exchange or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63287_6"/>
      <w:bookmarkEnd w:id="24"/>
      <w:r>
        <w:rPr>
          <w:rFonts w:ascii="Times New Roman" w:hAnsi="Times New Roman"/>
          <w:b/>
          <w:sz w:val="20"/>
        </w:rPr>
        <w:t xml:space="preserve">ADDITIONAL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selling stockholders are persons or entities that, directly or indirectly, have acquired, or will from time to time acquire from us, our securities. Such additional selling stockholders may be parties to registration rights agreements with us, or we otherwise may have agreed or agree to register their securities for resale. The term “additional selling stockholders” includes donees, pledgees, transferees, distributees or other successors-in-interest selling shares of our common stock or interests in our common stock received after the date of this prospectus from an additional selling stockholder as a gift, pledge, partnership distribution or other transfer.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additional selling stockholders, where applicable, will be set forth in a prospectus supplement, in an amendment to the registration statement of which this prospectus is a part, or in filings we make with the SEC under the Exchange Act, which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63287_7"/>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sell the securities offered through this prospectus in primary offerings on any stock exchange, market or trading facility on which our securities are traded or quoted or in private transactions. The selling stockholder or any additional selling stockholder may, from time to time, sell, transfer, distribute or otherwise dispose of certain of its shares of common stock or interests in our common stock on any stock exchange, market or trading facility on which shares of our common stock are traded or in private transactions. The common stock may be distributed at a fixed price or prices, which may be changed, market prices prevailing at the time of sale, prices related to the prevailing market prices, or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the term “selling stockholders” includes donees, pledgees, transferees, distributees or other successors-in-interest selling shares of our common stock or interests in our common stock received after the date of this prospectus from the selling stockholder or any additional selling stockholder as a gift, pledge, partnership distribution or other transfer.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use any one or more of the following methods when selling or otherwise disposing of the securities offered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their members, partners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of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of \ common stock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selling stockholder that is an entity may elect to make an in-kind distribution of common stock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pursuant to the distribution effected through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Each time that we or any of the selling stockholders sell securities covered by this prospectus, we or the selling stockholders will provide a prospectus supplement or supplements that will describe the method of distribution and set forth the terms and conditions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a sale by us or a selling stockholder,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common stock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common stock if they purchase any of them. The underwriters may change from time to time any initial public offering price and any discounts or concessions allowed or reallowed or paid to dealers. The applicable prospectus supplement will include the names of the principal underwriters, the respective amount of the securities underwritten, the nature of the obligation of the underwriters to take the securities and the nature of any material relationship between an underwriter, us and any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in the sale of securities offered through this prospectus, we or a selling stockholder will sell the securities to them as principals. They may then resell the securities to the public at varying prices determined by the dealers at the time of resale. The applicable prospectus supplement will include the names of the dealers and the terms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underwriters, broker-dealers or agents that participate in the sale of our securities or interests therein may be “underwriters” within the meaning of Section 2(11) of the Securities Act. Any discounts, commissions, concessions or profit they earn on any resale of shares of our securities may be underwriting discounts and commissions under the Securities Act. If a selling stockholder is an “underwriter” within the meaning of Section 2(11) of the Securities Act, then the selling stockholder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 </w:t>
      </w:r>
    </w:p>
    <w:p>
      <w:pPr>
        <w:pStyle w:val="TextBody"/>
        <w:bidi w:val="0"/>
        <w:spacing w:before="360" w:after="0"/>
        <w:jc w:val="left"/>
        <w:rPr>
          <w:rFonts w:ascii="Times New Roman" w:hAnsi="Times New Roman"/>
          <w:i/>
          <w:sz w:val="20"/>
        </w:rPr>
      </w:pPr>
      <w:r>
        <w:rPr>
          <w:rFonts w:ascii="Times New Roman" w:hAnsi="Times New Roman"/>
          <w:i/>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or a selling stockholder may sell the securities offered through this prospectus directly. In this case, no underwriters or agents would be involved. Such common stock may also be sold through agents designated from time to time. The applicable prospectus supplement will name any agent involved in the offer or sale of the offered securities and will describe any commissions payable to the agent by us. Unless otherwise indicated in the applicable prospectus supplement, any agent will agree to use its reasonable best efforts to solicit purchases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or a selling stockholder may sell the securities directly to institutional investors or others who may be deemed to be underwriters within the meaning of the Securities Act with respect to any sale of those common stock. The terms of any such sales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Selling stockholders also may resell a portion of our common stock in open market transactions in reliance upon Rule 144 under the Securities Act, provided that they meet the criteria and we and they conform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Selling stockholders may, from time to time, pledge or grant a security interest in some shares of our common stock owned by them and, if a selling stockholder defaults in the performance of its secured obligations, the pledgees or secured parties may offer and sell such shares of common stock from time to time, under this prospectus, or under an amendment or supplement to this prospectus amending the list of the selling stockholders to include the pledgee, transferee or other successors in interest as the selling stockholders under this prospectus. The selling stockholders also may transfer shares of our common stock in other circumstances, in which case the transferees, pledgees or other successors in interest will be the selling beneficial owners for purposes of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indicates, we or a selling stockholder may authorize agents, underwriters or dealers to solicit offers from certain types of institutions to purchase common stock at the public offering price under delayed delivery contracts. These contracts would provide for payment and delivery on a specified date in the future. The contracts would be subject only to those conditions described in the applicable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Any underwriter we use in the sale of offered securities may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a selling stockholder, the underwriters or other agents may engage in derivative transactions involving our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common stock to the public, including short sales, or by lending the common stock in order to facilitate short sale transactions by others. The underwriters or agents may also use the securities purchased or borrowed from us or others (or, in the case of derivatives, common stock received from us in settlement of those derivatives) to directly or indirectly settle sales of the securities or close out any related open borrowings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common stock would be sold and the allocation of common stock among bidders would be based in whole or in part on the results of the Internet or other electronic bidding process or auction.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63287_8"/>
      <w:bookmarkEnd w:id="26"/>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 summary of our capital stock, and the preferred stock, debt securities, and warrants that may be issued in the future. These summaries are not meant to be a complete description of each security. The particular terms of any security to be issued pursuant hereto will be set forth in a related prospectus supplement. This prospectus and the accompanying prospectus supplement will contain the material terms and conditions for each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63287_9"/>
      <w:bookmarkEnd w:id="27"/>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terms of our capital stock is not intended to be a complete summary of the rights and preferences of such securities. Because it is only a summary, it may not contain all the information that is important to an investor in our securities. Defined terms used and not defined herein shall have the meaning ascribed to such terms in our Annual Report on Form 10-K. We urge you to read our Second Amended and Restated Certificate of Incorporation (“Certificate of Incorporation”) in its entirety for a complete description of the rights and preferences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authorizes the issuance of 422,000,000 shares of common stock, $0.0001 par value per share and 10,000,000 shares of preferred stock, $0.0001 par value. The following description of our capital stock does not purport to be complete and is subject to, and qualified in its entirety by, our Certificate of Incorporation and amended and restated bylaws, each of which is incorporated by reference as an exhibit to our Annual Report on Form 10-K.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otherwise provided in any Preferred Stock Designation, the holders of the common stock possess all voting power for the election of our directors and all other matters submitted to a vote of stockholders of ours. Holders of the common stock have one vote in respect of each share of stock held by such holder on matters to be voted on by stockholders. Except as otherwise required by law, holders of the common stock, as such, are not be entitled to vote on any amendment to the Certificate of Incorporation (including any resolutions adopted by our Board of Directors approving the issue of preferred stock (a “Preferred Stock Designation”)) that relates solely to the rights, powers, preferences or other terms of one or more outstanding series of our preferred stock if the holders of such affected series of our preferred stock are entitled to vote on such amendment pursuant to the Certificate of Incorporation (including any Preferred Stock Designation) or pursuant to the Delaware General Corporation Law (the “DGCL”).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the rights and preferences of any holders of any outstanding series of preferred stock of the Company, holders of the common stock are entitled to receive dividends when, as and if declared by our Board of Directors, payable either in cash, in property or in shares of capital stock.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 up and after payment in full of all amounts required to be paid to creditors and to any holders of our preferred stock having liquidation preferences, if any, the holders of the common stock are entitled to receive pro rata our remaining assets available for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and there are no conversion, sinking fund or redemption rights, or rights to subscribe for any of our securities. The rights, powers, preferences and privileges of holders of the common stock are subject to those of the holders of any shares of our preferred stock that our Board of Directors may authorize and issue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each of which generally serve for a term of three years with only one class of directors being elected in each year. There is no cumulative voting with respect to the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directors, with the result that the holders of more than 50% of the shares voted for the election of directors can elect all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our Board of Directors is divided into three classes of directors, with the classes to be as nearly equal in number as possible, and with each director serving a three-year term. As a result, approximately one-third of our Board of Directors is elected each year. The classification of directors has the effect of making it more difficult for stockholders to change the composition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stockholders may not take action by written consent, but may only take action at annual or special meetings of stockholders. As a result, a holder controlling a majority of our capital stock would not be able to amend our Bylaws or remove directors without holding a meeting of stockholders called in accordance with our Bylaws. This restriction does not apply to actions taken by the holders of any series of preferred stock of ours to the extent expressly provided in the applicable Preferred Stock Designation. Further, our Certificate of Incorporation provides that, subject to any special rights of the holders of preferred stock, only our Board of Directors, the chairperson of our Board of Directors or the chief executive officer of the Company’s may call special meetings of stockholders, thus prohibiting a holder of our common stock from calling a special meeting. These provisions might delay the ability of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stockholders seeking to bring business before our annual meeting of stockholders, or to nominate candidates for election as directors at its annual meeting of stockholders, must provide timely notice. To be timely, a stockholder’s notice will need to be delivered to, or mailed and received at, our principal executive offices not less than 90 days nor more than 120 days prior to the one-year anniversary of the preceding year’s annual meeting, except in the case of a special meeting to nominate candidates for election as directors, timely notice shall not less than the later of 90 days prior to the special meeting or the 10th day following the day on which public disclosure of the date of the special meeting is first made by us). In the event that the date of the annual meeting is more than 30 days before or more than 60 days after such anniversary date, to be timely, a stockholder’s notice must be so delivered, or mailed and received, not later than the 90th day prior to such annual meeting or, if later, the 10th day following the day on which public disclosure of the date of such annual meeting was first made by us. Our Bylaws also specify certain requirements as to the form and content of a stockholders’ notice. These provisions may preclude our stockholders from bringing matters before its annual meeting of stockholders or from making nominations for directors at its annual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or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be amended or repealed by our Board of Directors or by the affirmative vote of the holders of at least 662/3% of the voting power of all of the shares of our capital stock entitled to vote in the election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voting as one class. The affirmative vote of the holders of at least 662/3% of the voting power of the then outstanding shares of our capital stock entitled to vote generally in the election of directors, voting together as a single class, is required to amend certain provisions of our Certificate of Incorporation. </w:t>
      </w:r>
    </w:p>
    <w:p>
      <w:pPr>
        <w:pStyle w:val="TextBody"/>
        <w:bidi w:val="0"/>
        <w:spacing w:before="360" w:after="0"/>
        <w:jc w:val="left"/>
        <w:rPr>
          <w:rFonts w:ascii="Times New Roman" w:hAnsi="Times New Roman"/>
          <w:i/>
          <w:sz w:val="20"/>
        </w:rPr>
      </w:pPr>
      <w:r>
        <w:rPr>
          <w:rFonts w:ascii="Times New Roman" w:hAnsi="Times New Roman"/>
          <w:i/>
          <w:sz w:val="20"/>
        </w:rPr>
        <w:t xml:space="preserve">Board Vacancies </w:t>
      </w:r>
    </w:p>
    <w:p>
      <w:pPr>
        <w:pStyle w:val="TextBody"/>
        <w:bidi w:val="0"/>
        <w:spacing w:before="120" w:after="0"/>
        <w:jc w:val="left"/>
        <w:rPr>
          <w:rFonts w:ascii="Times New Roman" w:hAnsi="Times New Roman"/>
          <w:sz w:val="20"/>
        </w:rPr>
      </w:pPr>
      <w:r>
        <w:rPr>
          <w:rFonts w:ascii="Times New Roman" w:hAnsi="Times New Roman"/>
          <w:sz w:val="20"/>
        </w:rPr>
        <w:t xml:space="preserve">Any vacancy on our Board of Directors may be filled by a majority vote of the directors then in office, although less than a quorum, or by a sole remaining director, subject to any special rights of the holders of preferred stock. Any director chosen to fill a vacancy will hold office until the expiration of the term of the class for which he or she was elected and until his or her successor is duly elected and qualified or until their earlier resignation, removal from office, death or incapacity. Except as otherwise provided by law, the Stockholders Agreement or our Bylaws, in the event of a vacancy in our Board of Directors, the remaining directors may exercise the powers of our full Board of Directors until the vacancy is filled. </w:t>
      </w:r>
    </w:p>
    <w:p>
      <w:pPr>
        <w:pStyle w:val="TextBody"/>
        <w:bidi w:val="0"/>
        <w:spacing w:before="360" w:after="0"/>
        <w:jc w:val="left"/>
        <w:rPr>
          <w:rFonts w:ascii="Times New Roman" w:hAnsi="Times New Roman"/>
          <w:i/>
          <w:sz w:val="20"/>
        </w:rPr>
      </w:pPr>
      <w:r>
        <w:rPr>
          <w:rFonts w:ascii="Times New Roman" w:hAnsi="Times New Roman"/>
          <w:i/>
          <w:sz w:val="20"/>
        </w:rPr>
        <w:t xml:space="preserve">Exclusive 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forum, the Court of Chancery of the State of Delaware will, to the fullest extent permitted by applicable law, be the sole and exclusive forum for: (i) any derivative action brought by a stockholder on our behalf, (ii) any action asserting a claim of breach of a fiduciary duty owed by any of our directors, officers or stockholders, (iii) any action arising under our Certificate of Incorporation, our Bylaws or the DGCL or (iv) any action asserting a claim against us governed by the internal affairs doctrine. Any person or entity purchasing or otherwise acquiring any interest in shares of our capital stock is deemed to have notice of and consented to the exclusive forum provisions in the Certificate of Incorporation. In addition, the Certificate of Incorporation designates the federal district courts of the United States of America as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As a result, the exclusive forum provision in the Certificate of Incorporation will not apply to suits brought to enforce any duty or liability created by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these provisions benefit us by providing increased consistency in the application of Delaware law in the types of lawsuits to which it applies, a court may determine that these provisions are unenforceable, and to the extent they are enforceable, the provisions may have the effect of discouraging lawsuits against our directors and officers, although our stockholders shall not be deemed to have waived its compliance with federal securities laws and the rules and regulations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certain mergers, asset or stock sales or other transactions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of the corporation and authorized at an annual or special meeting of the stockholders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Section 203 of the DGCL will make it more difficult for a person who would be an “interested stockholder” to effect various business combinations with a corporation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Section 203 of the DGCL also may have the effect of preventing changes in our Board of Directors and may make it more difficult to accomplish transactions which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 Limitations on Rights of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shares of our preferred stock may be issued from time to time in one or more series. Our Board of Directors is authorized to establish the voting rights, if any, designations, preferences and relative, participating, optional or other special rights of the shares of such series, and the qualifications, limitations or restrictions thereof, applicable to the shares of each series of our preferred stock. Our Board of Directors is able to, without stockholder approval, issue our preferred stock with voting and other rights that could adversely affect the voting power and other rights of the holders of our common stock and could have anti-takeover effects. The ability of our Board of Directors to issue our preferred stock without stockholder approval could have the effect of delaying, deferring or preventing a change of control of us or the removal of existing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listed on the Nasdaq Global Select Market under the symbol “AEVA”.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our directors and officers are indemnified and advanced expenses by the Company to the fullest extent authorized or permitted by the DGCL as it now exists or may in the future be amended. In addition, the Certificate of Incorporation provides that our directors will not be personally liable to the Company or its stockholders for monetary damages for breaches of their fiduciary duty as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permits us to purchase and maintain insurance on behalf of any officer, director, employee or agent of ours for any liability arising out of his or her status as such, regardless of whether the DGCL would permit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63287_10"/>
      <w:bookmarkEnd w:id="28"/>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general terms and conditions of the debt securities that we may offer and sell pursuant to this prospectus. When we offer to sell a particular series of debt securities, we will describe the specific terms and conditions of the series in a prospectus supplement to this prospectus. We will also indicate in the applicable prospectus supplement whether the general terms and conditions described in this prospectus apply to the series of debt securities. The terms and conditions of the debt securities of a series may be different in one or more respects from the terms and conditions described below. If so, those differences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in one or more series under an indenture between us and a trustee to be selected by us. The following description of provisions of the indenture does not purport to be complete and is subject to, and qualified in its entirety by reference to, the indenture, which has been filed with the SEC as an exhibit to the registration statement of which this prospectus forms a part. A form of each debt security,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of this prospectus, references to “we,” “us” and “our” are to Aeva Technologies, Inc. and not to any of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from time to time, debt securities, in one or more series, that will consist of either senior debt (“Senior Debt Securities”), senior subordinated debt (“Senior Subordinated Debt Securities”), subordinated debt (“Subordinated Debt Securities”) or junior subordinated debt (“Junior Subordinated Debt Securities” and, together with the Senior Subordinated Debt Securities and the Subordinated Debt Securities, the “Subordinated Securities”). Debt securities, whether senior, senior subordinated, subordinated or junior subordinated, may be issued as convertible debt securities or exchangeable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debt securities that we may issue. We may, without the consent of the holders of the debt securities of any series, issue additional debt securities ranking equally with, and otherwise similar in all respects to, the debt securities of the series (except for any differences in the issue price and, if applicable, the initial interest accrual date and interest payment date) so that those additional debt securities will be consolidated and form a single series with the debt securities of the series previously offered and sold; provided that if the additional debt securities are not fungible with the debt securities of the series previously offered or sold for U.S. federal income tax purposes, the additional debt securities will have a separate CUSIP or other identifying number.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Provisions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for a series of debt securities that we issue will describe, among other things, the following terms of the offered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of payment of principal or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rates, and the date or dates from which interest, if any, will accrue, and the date or dates when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the extensions;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or record dates for determining to whom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and the manner in which principal, premium or interest will be payable and the place or places where the debt securities may be presented for transfer and, if applicable,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or obligations to redeem or purchase the debt securities, including sinking fund or partial redemption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pursuant to which any debt securities will be subordinate to any of our other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entire principal amount of the debt securities when issued, the portion of the principal amount payable upon acceleration of maturity as a result of an Event of Default (as defined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applicable to any debt securities issued at a discount from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remarketing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Events of Default applicable to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covenants affording holders of debt protection with respect to our operations, financial condition or transactions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provisions, if any, including conversion or exchange prices or rates and adjustments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any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certain U.S. federal income tax considerations for holders of any debt securities and the securities exchange or quotation system on which any debt securities are listed or quoted, if any.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issued by us will be structurally subordinated to all indebtedness and other liabilities of our subsidiaries, except to the extent any such subsidiary guarantees or is otherwise obligated to make payment on such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Senior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 of the principal of, and premium, if any, and interest on, Senior Debt Securities will rank on a parity with all of our other unsecured and unsubordinated debt. </w:t>
      </w:r>
    </w:p>
    <w:p>
      <w:pPr>
        <w:pStyle w:val="TextBody"/>
        <w:bidi w:val="0"/>
        <w:spacing w:before="360" w:after="0"/>
        <w:jc w:val="left"/>
        <w:rPr>
          <w:rFonts w:ascii="Times New Roman" w:hAnsi="Times New Roman"/>
          <w:b/>
          <w:sz w:val="20"/>
        </w:rPr>
      </w:pPr>
      <w:r>
        <w:rPr>
          <w:rFonts w:ascii="Times New Roman" w:hAnsi="Times New Roman"/>
          <w:b/>
          <w:sz w:val="20"/>
        </w:rPr>
        <w:t xml:space="preserve">Senior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 of the principal of, and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applicable prospectus supplement limitations, if any, on issuance of additional debt ranking senior to the Senior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 of the principal of, and premium, if any, and interest on, Subordinated Debt Securities will be subordinated and junior in right of payment to the prior payment in full of all of our unsubordinated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debt ranking senior to the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Junior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 of the principal of, and premium, if any, and interest on, Junior Subordinated Debt Securities will be subordinated and junior in right of payment to the prior payment in full of all of our unsubordinated,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ranking senior to the Junior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may be convertible into or exchangeable for other securities or property of us. The terms and conditions of conversion or exchange will be set forth in the applicable prospectus supplement. The terms will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regarding the ability of us or the holder to convert or exchange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requiring adjustment to the conversion or exchange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our redemption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We cannot consolidate or merge with or into, or transfer or lease our properties and assets substantially as an entirety to, any person, and we shall not permit any other person to consolidate with or merge into us,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we will be the continuing corporation or (b) the successor corporation or person formed by such consolidation or into which we are merged or to which our properties and assets substantially as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entirety are transferred or leased is a person organized or formed under the laws of the United States, any state of the United States or the District of Columbia and, if such entity is not a corporation, a co-obligor of the debt securities is a corporation organized or existing under any such laws, and such successor corporation or person, including such co-obligor, if any, expressly assumes our obligations under the debt securities and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Event of Default or event, which after notice or lapse of time or both would become an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when the person to whom our assets are transferred or leased has assumed our obligations under the debt securities and the indenture, we shall be discharged from all our obligations under the debt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covenant would not apply to any recapitalization transaction, a change of control of us or a highly leveraged transaction, unless the transaction or change of control were structured to include a merger or consolidation or transfer or lease of our properties and assets substantially as an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the term “Event of Default,” when used in the indenture with respect to the debt securities of any series,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for 30 days after the date payment on any debt security of such series is due and payable; provided that an extension of an interest payment period by us in accordance with the terms of the debt securities shall not constitute a failure to pay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or premium, if any, on any debt security of such series when due, either at maturity, upon any redemption,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any other covenant in the indenture or the debt securities of such series for a specified period of time after written notice that performance was required, which notice must be sent by either the trustee or holders of not less than a specified percentage of the principal amount of the outstanding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the applicable resolution of the Board or the officers’ certificate or supplemental indenture under which we issue such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relating to events of bankruptcy, insolvency or reorganization of us) involving any series of debt securities has occurred and is continuing, the trustee or the holders of a specified aggregate principal amount of the debt securities of each affected series may declare the entire principal amount of all the debt securities of such affected series, and the interest accrued thereon, if any, to be due and payable immediately. The holders of not less than a majority in aggregate principal amount of the debt securities of an affected series may, after satisfying conditions, rescind and annul any of the above-described declarations and consequences involving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events of bankruptcy, insolvency or reorganization of us occurs and is continuing, then the entire principal amount of all of the debt securities outstanding, and the interest accrued thereon, if any, will automatically become due and payable immediately, without any declaration or other act by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imposes limitations on suits brought by holders of debt securities against us with respect to an Event of Default. Except as provided below, no holder of debt securities of any series may institute any action against us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and such holder has previously given to the trustee written notice of such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specified percentage in principal amount of the outstanding debt securities of the affected series have requested that the trustee institute the action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holders have offered the trustee security or indemnity reasonably satisfactory to it for expenses and liabilities that may be incurred by bringing the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instituted the action within a specified number of days of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received inconsistent direction by the holders of a majority in principal amount of the outstanding debt securities of the affected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annually with the trustee a certificate, signed by one of our officers, stating whether or not the officer knows of any default by us in the performance, observance or fulfillment of any condition or covenant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debt securities in definitive registered form, a registered global security may not be transferred except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depositary for such registered global security to its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nominee of the depositary to the depositary or another nominee of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depositary or its nominee to a successor of the depositary or a nominee of the successor.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that have accounts with the depositary for the registered global security, those persons being referred to as “participants,” or persons that may hold interests through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dealers, underwriters, or agents participating in the distribution of the debt securities will designate the accounts to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may require that certain purchasers of securities take physical delivery of the securities in definitive form. These laws may limit the ability of those persons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the debt securities represented by a registered global security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delivery of the debt securities in the definitive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debt securities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us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debt securities represented by a registered global security is at any time unwilling or unable to continue as depositary or ceases to be a clearing agency registered under the Exchange Act,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discharge our obligations to holders of any series of debt securities that have not already been delivered to the trustee for cancellation and that have either become due and payable or are by their terms to become due and payable within one year (or to be called for redemption within one year). We may effect a discharge by irrevocably depositing with the trustee cash or U.S. government obligations, as trust funds, in an amount certified to be sufficient to pay when due, whether at maturity, upon redemption or otherwise, the principal of, and premium, if any, and interest on, the debt securities and any mandatory sinking fund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irrevocably deposit with the trustee cash or U.S. government obligations, as trust funds, in an amount certified to be sufficient to pay when due (whether at maturity, upon redemption, or otherwise) the principal of, and premium, if any, and interest on all outstanding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opinion of counsel from a nationally recognized law firm to the effect that the beneficial owners of the series of debt securities will not recognize income, gain or loss for U.S. federal income tax purposes as a result of the legal defeasance or covenant defeasance, as applicable, and that legal defeasance or covenant defeasance, as applicable, will not otherwise alter the beneficial owners’ U.S. federal income tax treatment of principal, premium, if any, and interest payments on the series of debt securities, which opinion, in the case of legal defeasance, must be based on a ruling of the Internal Revenue Service, or a change in U.S.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and the trustee may enter into supplemental indentures without the consent of the holders of debt securities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any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another person of our obligations,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for the protection of the holders of debt securities of all or any series or to surrender any right or power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for the benefit of holders of the debt securities of all or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one or more guarantees for the benefit of holders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of any applicable securities depository;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any of the provisions of the indenture in respect of one or more series of debt securities; provided that any such addition, change or elimination (a) shall neither (1) apply to any debt security of any series created prior to the execution of such supplemental indenture and entitled to the benefit of such provision nor (2) modify the rights of the holder of any such debt security with respect to such provision or (b) shall become effective only when there is no debt security described in clause (a)(1)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or any other series of debt securities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or regulations of any securities exchange or automated quotation system on which any of the debt securities may be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any of the provisions of the indenture as shall be necessary or desirable in accordance with any amendments to the Trust Indenture Act of 1939, as amended (the “Trust Indenture Act”), provided that such action does not adversely affect the rights or interests of any holder of debt securities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or correct any ambiguity, defect, omission or inconsistency in the indenture; provided that such action does not adversely affect the interests of the holders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forms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any other provision of the indenture; provided that such addition, change or elimination does not adversely affect the interests of the holders of debt securities of any series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that we and the trustee may, with the consent of the holders of not less than a majority in aggregate principal amount of the outstanding debt securities of all series of Senior Debt Securities or Subordinated Securities, as the case may be, then outstanding and affected thereby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 the final maturity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premium, if any,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extend the time of payment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 payable on redemption of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(other than as may be provided otherwise with respect to a series), premium, if any, or interest is payable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the principal of any debt security issued with an original issue discount that is payable upon acceleration or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subordination provisions or the definition of senior indebtedness applicable to any Subordinated Securities in a manner adverse to the holders of those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provisions of the indenture relating to the debt securities not denominated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any debt security when due;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of any series whose consent is required for any modification of the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accompanying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and premium, if any, and interest on, and all registration, transfer, exchange, authentication and delivery (including authentication and delivery on original issuance of the debt securities) of, the debt securities of a series will be effected by the trustee with respect to such series at an office designated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limitations on the right of the trustee, should it become a creditor of us,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Incorporators, Stockholders, Officers or Directors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63287_11"/>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warrants for the purchase of debt securities or stock warrants for the purchase of preferred stock 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be issued under warrant agreements to be entered into between us and the purchasers or between us and a bank or trust company, as warrant agent, all to be set forth in the applicable prospectus supplement relating to any or all warrants in respect of which this prospectus is being delivered. We will file a copy of the warrant and warrant agreement with the SEC each time we issue a series of warrants, and these warrants and warrant agreements will be incorporated by reference into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sets forth certain general terms and provisions of the warrants to which any applicable prospectus supplement may relate. The particular terms of the warrants to which any applicable prospectus supplement may relate and the extent, if any, to which such general provisions may apply to the warrants so offered will be described in the applicable prospectus supplement. The following summary of certain provisions of the warrants, warrant agreements and warrant certificates does not purport to be complete and is subject to, and is qualified in its entirety by express reference to, all the provisions of the warrant agreements and warrant certificates, including the definitions therein of certain terms. </w:t>
      </w:r>
    </w:p>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Reference is made to the applicable prospectus supplement for the terms of debt warrants in respect of which this prospectus is being delivered, the debt securities warrant agreement relating to such debt warrants and the debt warrant certificates representing such debt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terms of the debt securities purchasable upon exercise of such debt warrants and the procedures and conditions relating to the exercise of such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related debt securities with which such debt warrants are issued and the number of such debt warrants issued with each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such debt warrants and any related offered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purchasable upon exercise of each debt warrant and the price at which such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debt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the material U.S. federal income tax considerations applicable to the ownership or exercise of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warrants represented by the debt warrant certificates will be issued in registered or bearer form, and, if registered, where they may be transferred and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call provisions of such debt warrants,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warrant certificates will be exchangeable for new debt warrant certificates of different denominations and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such exercise and will not be entitled to any payments of principal and premium, if any, and interest, if any, on the debt securities purchasable upon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Exercise of Debt Warrants</w:t>
      </w:r>
      <w:r>
        <w:rPr>
          <w:rFonts w:ascii="Times New Roman" w:hAnsi="Times New Roman"/>
          <w:sz w:val="20"/>
        </w:rPr>
        <w:t xml:space="preserve">. Each debt warrant will entitle the holder to purchase for cash such principal amount of debt securities at such exercise price as shall in each case be set forth in, or be determinable as set forth in, the applicable prospectus supplement relating to the debt warrants offered thereby. Unless otherwise specified in the applicable prospectus supplement, debt warrants may be exercised at any time up to 5:00 p.m., New York City time, on the expiration date set forth in the applicable prospectus supplement. After 5:00 p.m., New York City time, on the expiration date, unexercised debt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Debt warrants may be exercised as set forth in the applicable prospectus supplement relating to the debt warrants. Upon receipt of payment and the debt warrant certificate properly completed and duly executed at the corporate trust office of the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Stock Warrants </w:t>
      </w:r>
    </w:p>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Reference is made to the applicable prospectus supplement for the terms of stock warrants in respect of which this prospectus is being delivered, the stock warrant agreement relating to such stock warrants and the stock warrant certificates representing such stock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type and number of shares of preferred stock or common stock purchasable upon exercise of such stock warrants and the procedures and conditions relating to the exercise of such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such stock warrants and related offered securities will be separately tradeable;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of such stock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price at which such shares may be purchased upon exercise of stock warrants and any provision with respect to the adjustment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stock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the material U.S. federal income tax considerations applicable to the ownership or exercise of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call provisions of such stock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stock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stock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relating to any preferred stock purchasable upon exercise of such stock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stock warrant certificates will be exchangeable for new stock warrant certificates of different denominations and stock warrants may be exercised at the corporate trust office of the warrant agent or any other office indicated in the applicable prospectus supplement. Prior to the exercise of their stock warrants, holders of stock warrants will not have any of the rights of holders of shares of capital stock purchasable upon such exercise, and will not be entitled to any dividend payments on such capital stock purchasable upon such exercise. </w:t>
      </w:r>
    </w:p>
    <w:p>
      <w:pPr>
        <w:pStyle w:val="TextBody"/>
        <w:bidi w:val="0"/>
        <w:spacing w:before="240" w:after="0"/>
        <w:jc w:val="left"/>
        <w:rPr>
          <w:rFonts w:ascii="Times New Roman" w:hAnsi="Times New Roman"/>
          <w:sz w:val="20"/>
        </w:rPr>
      </w:pPr>
      <w:r>
        <w:rPr>
          <w:rFonts w:ascii="Times New Roman" w:hAnsi="Times New Roman"/>
          <w:i/>
          <w:sz w:val="20"/>
        </w:rPr>
        <w:t>Exercise of Stock Warrants</w:t>
      </w:r>
      <w:r>
        <w:rPr>
          <w:rFonts w:ascii="Times New Roman" w:hAnsi="Times New Roman"/>
          <w:sz w:val="20"/>
        </w:rPr>
        <w:t xml:space="preserve">. Each stock warrant will entitle the holder to purchase for cash such number of shares of preferred stock or common stock, as the case may be, at such exercise price as shall in each case be set forth in, or be determinable as set forth in, the applicable prospectus supplement relating to the stock warrants offered thereby. Unless otherwise specified in the applicable prospectus supplement, stock warrants may be exercised at any time up to 5:00 p.m., California time, on the expiration date set forth in the applicable prospectus supplement. After 5:00 p.m., California time, on the expiration date, unexercised stock warrants will become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warrants may be exercised as set forth in the applicable prospectus supplement relating thereto. Upon receipt of payment and the stock warrant certificates properly completed and duly executed at the corporate trust office of the warrant agent or any other office indicated in the applicable prospectus supplement, we will, as soon as practicable, forward a certificate representing the number of shares of capital stock purchasable upon such exercise. If less than all of the stock warrants represented by such stock warrant certificate are exercised, a new stock warrant certificate will be issued for the remaining amount of stock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63287_12"/>
      <w:bookmarkEnd w:id="30"/>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May 13, 2025, we entered into a subscription agreement with the selling stockholder, pursuant to which we agreed to sell and issue in a private placement (the “Private Placement”) an aggregate of 3,509,719 shares of common stock at a price of $9.26 per share, for aggregate gross proceeds of approximately $32.5 million. The closing of the Private Placement occurred on August 20, 2025. This prospectus covers the resale or other disposition from time to time by the selling stockholder of the resale shares that were issued to the selling stockholder by us in the Private Placement. We are registering the offer and sale of the resale shares to satisfy certain registration obligations that we granted the selling stockholder in connection with the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provided by or on behalf of the selling stockholder concerning the common stock that may be offered from time to time by such selling stockholder pursuant to this prospectus. The selling stockholder identified below may have sold, transferred, or otherwise disposed of all or a portion of their securities after the date on which they provided us with information regarding their securities. Any changed or new information given to us by the selling stockholder, including regarding the identity of, and the securities held by, such selling stockholder, will be set forth in a prospectus supplement or amendments to the registration statement of which this prospectus is a part, if and when necessary. The selling stockholder may sell all, some or none of such securities in this offering.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table is based on information supplied to us by the selling stockholder, with beneficial ownership and percentage ownership determined in accordance with the rules and regulations of the SEC. This information does not necessarily indicate beneficial ownership for any other purpose. We have based our calculation of the percentage of beneficial ownership of the selling stockholder before the offering on 62,984,603 shares of common stock outstanding as of March 31, 2026. Percentage ownership of shares of our common stock after this offering gives effect to the sale by the selling stockholder of 3,509,719 shares of our common stock in this offering. The information in this table assumes the sale of all shares offered by the selling stockholder and that the selling stockholder does not acquire any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for resale of the shares does not mean that the selling stockholder will sell or otherwise dispose of all or any of these shares of common stock. The selling stockholder may sell or otherwise dispose of all, a portion or none of such shares from time to time. We do not know the number of shares, if any, that will be offered for sale or other disposition by the selling stockholder under this prospectus. We currently have no agreements, arrangements or understandings with the selling stockholder regarding the sale of any of the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3"/>
        <w:gridCol w:w="185"/>
        <w:gridCol w:w="60"/>
        <w:gridCol w:w="1034"/>
        <w:gridCol w:w="60"/>
        <w:gridCol w:w="185"/>
        <w:gridCol w:w="126"/>
        <w:gridCol w:w="675"/>
        <w:gridCol w:w="280"/>
        <w:gridCol w:w="129"/>
        <w:gridCol w:w="92"/>
        <w:gridCol w:w="1545"/>
        <w:gridCol w:w="60"/>
        <w:gridCol w:w="185"/>
        <w:gridCol w:w="119"/>
        <w:gridCol w:w="776"/>
        <w:gridCol w:w="112"/>
        <w:gridCol w:w="281"/>
        <w:gridCol w:w="112"/>
        <w:gridCol w:w="737"/>
        <w:gridCol w:w="69"/>
      </w:tblGrid>
      <w:tr>
        <w:trPr/>
        <w:tc>
          <w:tcPr>
            <w:tcW w:w="3383"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38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 Owned</w:t>
              <w:br/>
              <w:t>Prior to this Offering</w:t>
            </w:r>
          </w:p>
        </w:tc>
        <w:tc>
          <w:tcPr>
            <w:tcW w:w="28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Shares of </w:t>
              <w:br/>
              <w:t>Common Stock</w:t>
              <w:br/>
              <w:t>to be Sold in</w:t>
              <w:br/>
              <w:t>this Offering</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 Owned</w:t>
              <w:br/>
              <w:t>After this</w:t>
              <w:br/>
              <w:t>Offering (1)</w:t>
            </w:r>
          </w:p>
        </w:tc>
        <w:tc>
          <w:tcPr>
            <w:tcW w:w="69" w:type="dxa"/>
            <w:tcBorders/>
            <w:vAlign w:val="bottom"/>
          </w:tcPr>
          <w:p>
            <w:pPr>
              <w:pStyle w:val="TableContents"/>
              <w:bidi w:val="0"/>
              <w:spacing w:before="0" w:after="283"/>
              <w:jc w:val="left"/>
              <w:rPr/>
            </w:pPr>
            <w:r>
              <w:rPr/>
              <w:t> </w:t>
            </w:r>
          </w:p>
        </w:tc>
      </w:tr>
      <w:tr>
        <w:trPr/>
        <w:tc>
          <w:tcPr>
            <w:tcW w:w="33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85"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1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9" w:type="dxa"/>
            <w:tcBorders/>
            <w:vAlign w:val="bottom"/>
          </w:tcPr>
          <w:p>
            <w:pPr>
              <w:pStyle w:val="TableContents"/>
              <w:bidi w:val="0"/>
              <w:spacing w:before="0" w:after="283"/>
              <w:jc w:val="left"/>
              <w:rPr/>
            </w:pPr>
            <w:r>
              <w:rPr/>
              <w:t> </w:t>
            </w:r>
          </w:p>
        </w:tc>
      </w:tr>
      <w:tr>
        <w:trPr/>
        <w:tc>
          <w:tcPr>
            <w:tcW w:w="33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LG Innotek Co., Ltd.</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383" w:type="dxa"/>
            <w:tcBorders/>
          </w:tcPr>
          <w:p>
            <w:pPr>
              <w:pStyle w:val="TableContents"/>
              <w:bidi w:val="0"/>
              <w:spacing w:before="0" w:after="0"/>
              <w:jc w:val="left"/>
              <w:rPr>
                <w:rFonts w:ascii="Times New Roman" w:hAnsi="Times New Roman"/>
                <w:sz w:val="20"/>
              </w:rPr>
            </w:pPr>
            <w:r>
              <w:rPr>
                <w:rFonts w:ascii="Times New Roman" w:hAnsi="Times New Roman"/>
                <w:sz w:val="20"/>
              </w:rPr>
              <w:t>30, Magokjungang 10-ro, Gangseo-gu, Seoul, South Korea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3,509,719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5.6</w:t>
            </w:r>
          </w:p>
        </w:tc>
        <w:tc>
          <w:tcPr>
            <w:tcW w:w="28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3,509,719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know when or in what amounts the selling stockholder may offer to sell the resale shares. The selling stockholder might not sell any or might sell all of the resale shares. Because the selling stockholder may offer all or some of the resale shares pursuant to this offering, and because, except as set forth elsewhere in this prospectus supplement, there are currently no agreements, arrangements or understandings with respect to the sale of any of the resale shares, we cannot estimate the number of resale shares that will be held by the selling stockholder after completion of the offering. However, for purposes of this table, we have assumed that after completion of the offering, none of the resale shares will be held by the selling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63287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hereby is being passed upon for us by Gunderson Dettmer Stough Villeneuve Franklin &amp; Hachigian, LLP, Redwood City, California. As appropriate, any underwriters will also be advised about the validity of the securities and other legal matters by their own counsel, which will be named in the applicable prospectus supplement. </w:t>
      </w:r>
    </w:p>
    <w:p>
      <w:pPr>
        <w:pStyle w:val="TextBody"/>
        <w:bidi w:val="0"/>
        <w:spacing w:before="480" w:after="0"/>
        <w:jc w:val="center"/>
        <w:rPr>
          <w:rFonts w:ascii="Times New Roman" w:hAnsi="Times New Roman"/>
          <w:b/>
          <w:sz w:val="20"/>
        </w:rPr>
      </w:pPr>
      <w:bookmarkStart w:id="32" w:name="rom63287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incorporated in this prospectus by reference have been audited by Deloitte &amp; Touche LLP, an independent registered public accounting firm, as stated in their report. Such financial statements are incorporated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33" w:name="rom63287_15"/>
      <w:bookmarkEnd w:id="3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https://www.aeva.com. Information accessible on or through our website is not incorporated herein or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the securities we or the selling stockholder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34" w:name="rom63287_16"/>
      <w:bookmarkEnd w:id="3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to the extent set forth herein,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that we make with the SEC under Sections 13(a), 13(c), 14 or 15(d) of the Exchange Act (in each case, other than those documents or the portions of those documents furnished (but not filed) pursuant to Items 2.02 or 7.01 of any Current Report on Form 8-K), until the offering of the common stock being registered under this prospectus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9">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10">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29,  2026, that are incorporated by reference into Part III of our Annual Report on </w:t>
            </w:r>
            <w:hyperlink r:id="rId11">
              <w:r>
                <w:rPr>
                  <w:rStyle w:val="InternetLink"/>
                  <w:rFonts w:ascii="Times New Roman" w:hAnsi="Times New Roman"/>
                  <w:sz w:val="20"/>
                </w:rPr>
                <w:t xml:space="preserve">Form 10-K </w:t>
              </w:r>
            </w:hyperlink>
            <w:r>
              <w:rPr>
                <w:rFonts w:ascii="Times New Roman" w:hAnsi="Times New Roman"/>
                <w:sz w:val="20"/>
              </w:rPr>
              <w:t xml:space="preserve">for the year ended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2">
              <w:r>
                <w:rPr>
                  <w:rStyle w:val="InternetLink"/>
                  <w:rFonts w:ascii="Times New Roman" w:hAnsi="Times New Roman"/>
                  <w:sz w:val="20"/>
                </w:rPr>
                <w:t>Form 10-Q</w:t>
              </w:r>
            </w:hyperlink>
            <w:r>
              <w:rPr>
                <w:rFonts w:ascii="Times New Roman" w:hAnsi="Times New Roman"/>
                <w:sz w:val="20"/>
              </w:rPr>
              <w:t xml:space="preserve"> for the period ended March 31, 2026 filed with the SEC on May 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w:t>
            </w:r>
            <w:hyperlink r:id="rId13">
              <w:r>
                <w:rPr>
                  <w:rStyle w:val="InternetLink"/>
                  <w:rFonts w:ascii="Times New Roman" w:hAnsi="Times New Roman"/>
                  <w:sz w:val="20"/>
                </w:rPr>
                <w:t>Form 8-K</w:t>
              </w:r>
            </w:hyperlink>
            <w:r>
              <w:rPr>
                <w:rFonts w:ascii="Times New Roman" w:hAnsi="Times New Roman"/>
                <w:sz w:val="20"/>
              </w:rPr>
              <w:t xml:space="preserve"> filed with the SEC on June 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in </w:t>
            </w:r>
            <w:hyperlink r:id="rId14">
              <w:r>
                <w:rPr>
                  <w:rStyle w:val="InternetLink"/>
                  <w:rFonts w:ascii="Times New Roman" w:hAnsi="Times New Roman"/>
                  <w:sz w:val="20"/>
                </w:rPr>
                <w:t>Exhibit 4.4</w:t>
              </w:r>
            </w:hyperlink>
            <w:r>
              <w:rPr>
                <w:rFonts w:ascii="Times New Roman" w:hAnsi="Times New Roman"/>
                <w:sz w:val="20"/>
              </w:rPr>
              <w:t xml:space="preserve"> of our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20, 2025,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any such person, a copy of any or all of the documents that have been or may be incorporated by reference into this prospectus at no cost. Any such request may be made in writing or by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555 Ellis Street </w:t>
      </w:r>
    </w:p>
    <w:p>
      <w:pPr>
        <w:pStyle w:val="TextBody"/>
        <w:bidi w:val="0"/>
        <w:spacing w:before="0" w:after="0"/>
        <w:jc w:val="center"/>
        <w:rPr>
          <w:rFonts w:ascii="Times New Roman" w:hAnsi="Times New Roman"/>
          <w:sz w:val="20"/>
        </w:rPr>
      </w:pPr>
      <w:r>
        <w:rPr>
          <w:rFonts w:ascii="Times New Roman" w:hAnsi="Times New Roman"/>
          <w:sz w:val="20"/>
        </w:rPr>
        <w:t xml:space="preserve">Mountain View, CA 94043 </w:t>
      </w:r>
    </w:p>
    <w:p>
      <w:pPr>
        <w:pStyle w:val="TextBody"/>
        <w:bidi w:val="0"/>
        <w:spacing w:before="0" w:after="0"/>
        <w:jc w:val="center"/>
        <w:rPr>
          <w:rFonts w:ascii="Times New Roman" w:hAnsi="Times New Roman"/>
          <w:sz w:val="20"/>
        </w:rPr>
      </w:pPr>
      <w:r>
        <w:rPr>
          <w:rFonts w:ascii="Times New Roman" w:hAnsi="Times New Roman"/>
          <w:sz w:val="20"/>
        </w:rPr>
        <w:t xml:space="preserve">(650) 481-7070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200785" cy="16402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200785" cy="164020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Goldman Sachs &amp; Co. LLC </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Oppenheimer &amp; Co.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89029/000119312526116518/aeva-20251231.htm" TargetMode="External"/><Relationship Id="rId4" Type="http://schemas.openxmlformats.org/officeDocument/2006/relationships/hyperlink" Target="http://www.sec.gov/Archives/edgar/data/../../../ix?doc=/Archives/edgar/data/1789029/000114036126017859/aeva-20260618.htm" TargetMode="External"/><Relationship Id="rId5" Type="http://schemas.openxmlformats.org/officeDocument/2006/relationships/hyperlink" Target="http://www.sec.gov/Archives/edgar/data/../../../ix?doc=/Archives/edgar/data/1789029/000119312526212597/aeva-20260331.htm" TargetMode="External"/><Relationship Id="rId6" Type="http://schemas.openxmlformats.org/officeDocument/2006/relationships/hyperlink" Target="http://www.sec.gov/Archives/edgar/data/../../../ix?doc=/Archives/edgar/data/1789029/000119312526251690/d130280d8k.htm" TargetMode="External"/><Relationship Id="rId7" Type="http://schemas.openxmlformats.org/officeDocument/2006/relationships/hyperlink" Target="http://www.sec.gov/Archives/edgar/data/1789029/000095017025042849/aeva-ex4_4.htm" TargetMode="External"/><Relationship Id="rId8" Type="http://schemas.openxmlformats.org/officeDocument/2006/relationships/image" Target="media/image2.jpeg"/><Relationship Id="rId9" Type="http://schemas.openxmlformats.org/officeDocument/2006/relationships/hyperlink" Target="http://www.sec.gov/Archives/edgar/data/../../../ix?doc=/Archives/edgar/data/0001789029/000119312526116518/aeva-20251231.htm" TargetMode="External"/><Relationship Id="rId10" Type="http://schemas.openxmlformats.org/officeDocument/2006/relationships/hyperlink" Target="http://www.sec.gov/Archives/edgar/data/../../../ix?doc=/Archives/edgar/data/0001789029/000114036126017859/aeva-20260618.htm" TargetMode="External"/><Relationship Id="rId11" Type="http://schemas.openxmlformats.org/officeDocument/2006/relationships/hyperlink" Target="http://www.sec.gov/Archives/edgar/data/../../../ix?doc=/Archives/edgar/data/0001789029/000119312526116518/aeva-20251231.htm" TargetMode="External"/><Relationship Id="rId12" Type="http://schemas.openxmlformats.org/officeDocument/2006/relationships/hyperlink" Target="http://www.sec.gov/Archives/edgar/data/../../../ix?doc=/Archives/edgar/data/1789029/000119312526212597/aeva-20260331.htm" TargetMode="External"/><Relationship Id="rId13" Type="http://schemas.openxmlformats.org/officeDocument/2006/relationships/hyperlink" Target="http://www.sec.gov/Archives/edgar/data/../../../ix?doc=/Archives/edgar/data/0001789029/000119312526251690/d130280d8k.htm" TargetMode="External"/><Relationship Id="rId14" Type="http://schemas.openxmlformats.org/officeDocument/2006/relationships/hyperlink" Target="http://www.sec.gov/Archives/edgar/data/1789029/000095017025042849/aeva-ex4_4.htm" TargetMode="External"/><Relationship Id="rId15" Type="http://schemas.openxmlformats.org/officeDocument/2006/relationships/hyperlink" Target="http://www.sec.gov/Archives/edgar/data/../../../ix?doc=/Archives/edgar/data/0001789029/000095017025042849/aeva-20241231.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31836</Words>
  <Characters>167904</Characters>
  <CharactersWithSpaces>200619</CharactersWithSpaces>
  <Paragraphs>2203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