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eva-20260630.htm"/>
      <w:bookmarkStart w:id="1" w:name="ksaeva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001-39204</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AEVA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84-3080757</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555 Ellis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Mountain View,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(650) 481-7070</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3256"/>
        <w:gridCol w:w="146"/>
        <w:gridCol w:w="826"/>
        <w:gridCol w:w="146"/>
        <w:gridCol w:w="3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AEVA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30, 2026, the registrant had 69,705,758</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2" w:name="toc_page"/>
      <w:bookmarkEnd w:id="2"/>
      <w:r>
        <w:rPr>
          <w:rFonts w:ascii="Times New Roman" w:hAnsi="Times New Roman"/>
          <w:b/>
          <w:color w:val="000000"/>
          <w:sz w:val="18"/>
        </w:rPr>
        <w:t>Table of Contents</w:t>
      </w:r>
    </w:p>
    <w:p>
      <w:pPr>
        <w:pStyle w:val="TextBody"/>
        <w:bidi w:val="0"/>
        <w:jc w:val="left"/>
        <w:rPr/>
      </w:pPr>
      <w:r>
        <w:rPr/>
        <w:t> </w:t>
      </w:r>
    </w:p>
    <w:tbl>
      <w:tblPr>
        <w:tblW w:w="8000" w:type="dxa"/>
        <w:jc w:val="left"/>
        <w:tblInd w:w="0" w:type="dxa"/>
        <w:tblLayout w:type="fixed"/>
        <w:tblCellMar>
          <w:top w:w="28" w:type="dxa"/>
          <w:left w:w="28" w:type="dxa"/>
          <w:bottom w:w="28" w:type="dxa"/>
          <w:right w:w="28" w:type="dxa"/>
        </w:tblCellMar>
      </w:tblPr>
      <w:tblGrid>
        <w:gridCol w:w="856"/>
        <w:gridCol w:w="6496"/>
        <w:gridCol w:w="648"/>
      </w:tblGrid>
      <w:tr>
        <w:trPr/>
        <w:tc>
          <w:tcPr>
            <w:tcW w:w="856" w:type="dxa"/>
            <w:tcBorders/>
            <w:vAlign w:val="center"/>
          </w:tcPr>
          <w:p>
            <w:pPr>
              <w:pStyle w:val="TableContents"/>
              <w:bidi w:val="0"/>
              <w:spacing w:before="0" w:after="283"/>
              <w:jc w:val="left"/>
              <w:rPr>
                <w:sz w:val="4"/>
                <w:szCs w:val="4"/>
              </w:rPr>
            </w:pPr>
            <w:r>
              <w:rPr>
                <w:sz w:val="4"/>
                <w:szCs w:val="4"/>
              </w:rPr>
            </w:r>
          </w:p>
        </w:tc>
        <w:tc>
          <w:tcPr>
            <w:tcW w:w="64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8"/>
              </w:rPr>
            </w:pPr>
            <w:r>
              <w:rPr>
                <w:rFonts w:ascii="Times New Roman" w:hAnsi="Times New Roman"/>
                <w:b/>
                <w:color w:val="000000"/>
                <w:sz w:val="18"/>
              </w:rPr>
              <w:t>Page</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18"/>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18"/>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4</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18"/>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4</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operations">
              <w:r>
                <w:rPr>
                  <w:rStyle w:val="InternetLink"/>
                  <w:rFonts w:ascii="Times New Roman" w:hAnsi="Times New Roman"/>
                  <w:color w:val="000080"/>
                  <w:sz w:val="18"/>
                  <w:u w:val="single"/>
                </w:rPr>
                <w:t>Condensed Consolidated Statements of Operations</w:t>
              </w:r>
            </w:hyperlink>
            <w:r>
              <w:rPr>
                <w:rFonts w:ascii="Times New Roman" w:hAnsi="Times New Roman"/>
                <w:color w:val="0000FF"/>
                <w:sz w:val="18"/>
                <w:u w:val="single"/>
              </w:rPr>
              <w:t> and Comprehensive Loss</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5</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eferred_stock_and_stockholders_deficit">
              <w:r>
                <w:rPr>
                  <w:rStyle w:val="InternetLink"/>
                  <w:rFonts w:ascii="Times New Roman" w:hAnsi="Times New Roman"/>
                  <w:color w:val="0000FF"/>
                  <w:sz w:val="18"/>
                  <w:u w:val="single"/>
                </w:rPr>
                <w:t>Condensed Consolidated Statements of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6</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18"/>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8"/>
              </w:rPr>
            </w:pPr>
            <w:r>
              <w:rPr>
                <w:rFonts w:ascii="Times New Roman" w:hAnsi="Times New Roman"/>
                <w:color w:val="000000"/>
                <w:sz w:val="18"/>
              </w:rPr>
              <w:t>8</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18"/>
                  <w:u w:val="single"/>
                </w:rPr>
                <w:t>Notes to the Condensed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18"/>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18"/>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18"/>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II.</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18"/>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18"/>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1A.</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18"/>
                  <w:u w:val="single"/>
                </w:rPr>
                <w:t>Risk Factors</w:t>
              </w:r>
            </w:hyperlink>
            <w:hyperlink w:anchor="risk_factors">
              <w:r>
                <w:rPr>
                  <w:rStyle w:val="InternetLink"/>
                  <w:rFonts w:ascii="Times New Roman" w:hAnsi="Times New Roman"/>
                  <w:color w:val="0000FF"/>
                  <w:sz w:val="18"/>
                </w:rPr>
                <w:t xml:space="preserve"> </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18"/>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18"/>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18"/>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18"/>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18"/>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r>
      <w:tr>
        <w:trPr/>
        <w:tc>
          <w:tcPr>
            <w:tcW w:w="7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18"/>
        </w:rPr>
        <w:t>SPECIAL NOTE REGARDING FORWARD-LOOKING STATEMENTS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This report contains forward-looking statements within the meaning of Section 27A of the Securities Act of 1933, as amended (the “Securities Act”), and Section 21E of the Securities Exchange Act of 1934, as amended (the “Exchange Act”) regarding future events and our future results that are subject to the safe harbors created under the Securities Act and the Exchange Act.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those described in Part I, Item 1A of the Company’s Annual Report on Form 10-K for the year ended December 31, 2025, together with any updates in the section titled “Risk Factors” in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jc w:val="left"/>
        <w:rPr>
          <w:rFonts w:ascii="Times New Roman" w:hAnsi="Times New Roman"/>
          <w:color w:val="000000"/>
          <w:sz w:val="18"/>
        </w:rPr>
      </w:pPr>
      <w:r>
        <w:rPr>
          <w:rFonts w:ascii="Times New Roman" w:hAnsi="Times New Roman"/>
          <w:color w:val="000000"/>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w:t>
      </w:r>
    </w:p>
    <w:p>
      <w:pPr>
        <w:pStyle w:val="TextBody"/>
        <w:bidi w:val="0"/>
        <w:jc w:val="left"/>
        <w:rPr>
          <w:rFonts w:ascii="Times New Roman" w:hAnsi="Times New Roman"/>
          <w:color w:val="000000"/>
          <w:sz w:val="18"/>
        </w:rPr>
      </w:pPr>
      <w:r>
        <w:rPr>
          <w:rFonts w:ascii="Times New Roman" w:hAnsi="Times New Roman"/>
          <w:color w:val="000000"/>
          <w:sz w:val="18"/>
        </w:rPr>
        <w:t>As used in this report, the terms “Aeva,” “we,” “us,” “our,” and “the Company” mean Aeva Technologies, Inc. and its subsidiaries unless the context indicates otherwise.</w:t>
      </w:r>
    </w:p>
    <w:p>
      <w:pPr>
        <w:pStyle w:val="TextBody"/>
        <w:bidi w:val="0"/>
        <w:spacing w:before="140" w:after="283"/>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jc w:val="left"/>
        <w:rPr>
          <w:rFonts w:ascii="Times New Roman" w:hAnsi="Times New Roman"/>
          <w:sz w:val="20"/>
        </w:rPr>
      </w:pPr>
      <w:bookmarkStart w:id="3" w:name="part_i_financial_information"/>
      <w:bookmarkEnd w:id="3"/>
      <w:r>
        <w:rPr>
          <w:rFonts w:ascii="Times New Roman" w:hAnsi="Times New Roman"/>
          <w:b/>
          <w:color w:val="000000"/>
          <w:sz w:val="18"/>
        </w:rPr>
        <w:t>PART I—FINANCIAL</w:t>
      </w:r>
      <w:r>
        <w:rPr>
          <w:rFonts w:ascii="Times New Roman" w:hAnsi="Times New Roman"/>
          <w:color w:val="000000"/>
          <w:sz w:val="20"/>
        </w:rPr>
        <w:t xml:space="preserve"> </w:t>
      </w:r>
      <w:r>
        <w:rPr>
          <w:rFonts w:ascii="Times New Roman" w:hAnsi="Times New Roman"/>
          <w:b/>
          <w:color w:val="000000"/>
          <w:sz w:val="18"/>
        </w:rPr>
        <w:t>INFORMATION</w:t>
      </w:r>
    </w:p>
    <w:p>
      <w:pPr>
        <w:pStyle w:val="TextBody"/>
        <w:bidi w:val="0"/>
        <w:spacing w:before="360" w:after="283"/>
        <w:jc w:val="left"/>
        <w:rPr>
          <w:rFonts w:ascii="Times New Roman" w:hAnsi="Times New Roman"/>
          <w:b/>
          <w:color w:val="000000"/>
          <w:sz w:val="18"/>
        </w:rPr>
      </w:pPr>
      <w:bookmarkStart w:id="4" w:name="item_1_financial_statements"/>
      <w:bookmarkEnd w:id="4"/>
      <w:r>
        <w:rPr>
          <w:rFonts w:ascii="Times New Roman" w:hAnsi="Times New Roman"/>
          <w:b/>
          <w:color w:val="000000"/>
          <w:sz w:val="18"/>
        </w:rPr>
        <w:t>Item 1. Financial Statements.</w:t>
      </w:r>
    </w:p>
    <w:p>
      <w:pPr>
        <w:pStyle w:val="TextBody"/>
        <w:bidi w:val="0"/>
        <w:spacing w:before="200" w:after="283"/>
        <w:jc w:val="center"/>
        <w:rPr>
          <w:rFonts w:ascii="Times New Roman" w:hAnsi="Times New Roman"/>
          <w:b/>
          <w:color w:val="000000"/>
          <w:sz w:val="18"/>
        </w:rPr>
      </w:pPr>
      <w:r>
        <w:rPr>
          <w:rFonts w:ascii="Times New Roman" w:hAnsi="Times New Roman"/>
          <w:b/>
          <w:color w:val="000000"/>
          <w:sz w:val="18"/>
        </w:rPr>
        <w:t>AEVA TECHNOLOGIES, INC.</w:t>
      </w:r>
    </w:p>
    <w:p>
      <w:pPr>
        <w:pStyle w:val="TextBody"/>
        <w:bidi w:val="0"/>
        <w:jc w:val="center"/>
        <w:rPr>
          <w:rFonts w:ascii="Times New Roman" w:hAnsi="Times New Roman"/>
          <w:b/>
          <w:color w:val="000000"/>
          <w:sz w:val="18"/>
        </w:rPr>
      </w:pPr>
      <w:bookmarkStart w:id="5" w:name="condensed_balance_sheets"/>
      <w:bookmarkEnd w:id="5"/>
      <w:r>
        <w:rPr>
          <w:rFonts w:ascii="Times New Roman" w:hAnsi="Times New Roman"/>
          <w:b/>
          <w:color w:val="000000"/>
          <w:sz w:val="18"/>
        </w:rPr>
        <w:t>CONDENSED 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PAR VALUE)</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1"/>
        <w:gridCol w:w="146"/>
        <w:gridCol w:w="236"/>
        <w:gridCol w:w="904"/>
        <w:gridCol w:w="166"/>
        <w:gridCol w:w="146"/>
        <w:gridCol w:w="310"/>
        <w:gridCol w:w="1193"/>
        <w:gridCol w:w="593"/>
      </w:tblGrid>
      <w:tr>
        <w:trPr/>
        <w:tc>
          <w:tcPr>
            <w:tcW w:w="6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153,525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179,701</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35,869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liability,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96,693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200,264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166,486</w:t>
            </w:r>
          </w:p>
        </w:tc>
        <w:tc>
          <w:tcPr>
            <w:tcW w:w="5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Convertible preferred stock $0.0001</w:t>
            </w:r>
            <w:r>
              <w:rPr>
                <w:rFonts w:ascii="Times New Roman" w:hAnsi="Times New Roman"/>
                <w:color w:val="000000"/>
                <w:sz w:val="20"/>
              </w:rPr>
              <w:t> </w:t>
            </w:r>
            <w:r>
              <w:rPr>
                <w:rFonts w:ascii="Times New Roman" w:hAnsi="Times New Roman"/>
                <w:color w:val="000000"/>
                <w:sz w:val="18"/>
              </w:rPr>
              <w:t>par value; 10,000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and</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422,000</w:t>
            </w:r>
            <w:r>
              <w:rPr>
                <w:rFonts w:ascii="Times New Roman" w:hAnsi="Times New Roman"/>
                <w:color w:val="000000"/>
                <w:sz w:val="20"/>
              </w:rPr>
              <w:t> </w:t>
            </w:r>
            <w:r>
              <w:rPr>
                <w:rFonts w:ascii="Times New Roman" w:hAnsi="Times New Roman"/>
                <w:color w:val="000000"/>
                <w:sz w:val="18"/>
              </w:rPr>
              <w:t>shares authorized; 68,683</w:t>
            </w:r>
            <w:r>
              <w:rPr>
                <w:rFonts w:ascii="Times New Roman" w:hAnsi="Times New Roman"/>
                <w:color w:val="000000"/>
                <w:sz w:val="20"/>
              </w:rPr>
              <w:t> </w:t>
            </w:r>
            <w:r>
              <w:rPr>
                <w:rFonts w:ascii="Times New Roman" w:hAnsi="Times New Roman"/>
                <w:color w:val="000000"/>
                <w:sz w:val="18"/>
              </w:rPr>
              <w:t>and 61,580</w:t>
            </w:r>
            <w:r>
              <w:rPr>
                <w:rFonts w:ascii="Times New Roman" w:hAnsi="Times New Roman"/>
                <w:color w:val="000000"/>
                <w:sz w:val="20"/>
              </w:rPr>
              <w:t> </w:t>
            </w:r>
            <w:r>
              <w:rPr>
                <w:rFonts w:ascii="Times New Roman" w:hAnsi="Times New Roman"/>
                <w:color w:val="000000"/>
                <w:sz w:val="18"/>
              </w:rPr>
              <w:t>shares issued</w:t>
              <w:br/>
              <w:t>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770,502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(757,289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179,701</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AEVA TECHNOLOGIES, INC.</w:t>
      </w:r>
    </w:p>
    <w:p>
      <w:pPr>
        <w:pStyle w:val="TextBody"/>
        <w:bidi w:val="0"/>
        <w:jc w:val="center"/>
        <w:rPr>
          <w:rFonts w:ascii="Times New Roman" w:hAnsi="Times New Roman"/>
          <w:b/>
          <w:color w:val="000000"/>
          <w:sz w:val="18"/>
        </w:rPr>
      </w:pPr>
      <w:bookmarkStart w:id="6" w:name="condensed_statements_of_operations"/>
      <w:bookmarkEnd w:id="6"/>
      <w:r>
        <w:rPr>
          <w:rFonts w:ascii="Times New Roman" w:hAnsi="Times New Roman"/>
          <w:b/>
          <w:color w:val="000000"/>
          <w:sz w:val="18"/>
        </w:rPr>
        <w:t>CONDENSED CONSOLIDATED STATEMENTS OF OPERATIONS AND COMPREHENSIVE INCOME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(93,878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loss on share subscription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(227,661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64,672,666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55,161,124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63,745,534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54,956,722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AEVA TECHNOLOGIES, INC.</w:t>
      </w:r>
    </w:p>
    <w:p>
      <w:pPr>
        <w:pStyle w:val="TextBody"/>
        <w:bidi w:val="0"/>
        <w:jc w:val="center"/>
        <w:rPr>
          <w:rFonts w:ascii="Times New Roman" w:hAnsi="Times New Roman"/>
          <w:sz w:val="20"/>
        </w:rPr>
      </w:pPr>
      <w:bookmarkStart w:id="7" w:name="preferred_stock_and_stockholders_deficit"/>
      <w:bookmarkEnd w:id="7"/>
      <w:r>
        <w:rPr>
          <w:rFonts w:ascii="Times New Roman" w:hAnsi="Times New Roman"/>
          <w:b/>
          <w:color w:val="000000"/>
          <w:sz w:val="18"/>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9"/>
        <w:gridCol w:w="146"/>
        <w:gridCol w:w="146"/>
        <w:gridCol w:w="916"/>
        <w:gridCol w:w="146"/>
        <w:gridCol w:w="146"/>
        <w:gridCol w:w="249"/>
        <w:gridCol w:w="442"/>
        <w:gridCol w:w="146"/>
        <w:gridCol w:w="146"/>
        <w:gridCol w:w="196"/>
        <w:gridCol w:w="691"/>
        <w:gridCol w:w="146"/>
        <w:gridCol w:w="146"/>
        <w:gridCol w:w="439"/>
        <w:gridCol w:w="777"/>
        <w:gridCol w:w="166"/>
        <w:gridCol w:w="146"/>
        <w:gridCol w:w="217"/>
        <w:gridCol w:w="834"/>
        <w:gridCol w:w="166"/>
        <w:gridCol w:w="146"/>
        <w:gridCol w:w="253"/>
        <w:gridCol w:w="897"/>
        <w:gridCol w:w="213"/>
      </w:tblGrid>
      <w:tr>
        <w:trPr/>
        <w:tc>
          <w:tcPr>
            <w:tcW w:w="2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61,580,151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release of restricted</w:t>
              <w:br/>
              <w:t>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62,984,603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release of restricted</w:t>
              <w:br/>
              <w:t>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in connection with follow on public</w:t>
              <w:br/>
              <w:t>   offering, net of issuance cost of $6.2</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5,168,539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108,804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in connection with payment of </w:t>
              <w:br/>
              <w:t>   interest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68,682,947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899,503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27,530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AEVA TECHNOLOGIES,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56"/>
        <w:gridCol w:w="146"/>
        <w:gridCol w:w="146"/>
        <w:gridCol w:w="916"/>
        <w:gridCol w:w="166"/>
        <w:gridCol w:w="146"/>
        <w:gridCol w:w="249"/>
        <w:gridCol w:w="442"/>
        <w:gridCol w:w="146"/>
        <w:gridCol w:w="146"/>
        <w:gridCol w:w="196"/>
        <w:gridCol w:w="691"/>
        <w:gridCol w:w="166"/>
        <w:gridCol w:w="146"/>
        <w:gridCol w:w="439"/>
        <w:gridCol w:w="777"/>
        <w:gridCol w:w="166"/>
        <w:gridCol w:w="146"/>
        <w:gridCol w:w="217"/>
        <w:gridCol w:w="834"/>
        <w:gridCol w:w="166"/>
        <w:gridCol w:w="146"/>
        <w:gridCol w:w="236"/>
        <w:gridCol w:w="908"/>
        <w:gridCol w:w="212"/>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54,139,560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99,352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release of restricted</w:t>
              <w:br/>
              <w:t>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for the withholding tax on vesting of restricted </w:t>
              <w:br/>
              <w:t>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(34,867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54,949,284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68,812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release of restricted</w:t>
              <w:br/>
              <w:t>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for the withholding tax on vesting of </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(192,742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55,430,255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(118,181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18"/>
        </w:rPr>
      </w:pPr>
      <w:bookmarkStart w:id="8" w:name="condensed_statements_of_cash_flows"/>
      <w:bookmarkEnd w:id="8"/>
      <w:r>
        <w:rPr>
          <w:rFonts w:ascii="Times New Roman" w:hAnsi="Times New Roman"/>
          <w:b/>
          <w:color w:val="000000"/>
          <w:sz w:val="18"/>
        </w:rPr>
        <w:t>AEVA TECHNOLOGIES, INC.</w:t>
        <w:b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396" w:type="dxa"/>
        <w:jc w:val="left"/>
        <w:tblInd w:w="0" w:type="dxa"/>
        <w:tblLayout w:type="fixed"/>
        <w:tblCellMar>
          <w:top w:w="28" w:type="dxa"/>
          <w:left w:w="28" w:type="dxa"/>
          <w:bottom w:w="28" w:type="dxa"/>
          <w:right w:w="28" w:type="dxa"/>
        </w:tblCellMar>
      </w:tblPr>
      <w:tblGrid>
        <w:gridCol w:w="6426"/>
        <w:gridCol w:w="146"/>
        <w:gridCol w:w="198"/>
        <w:gridCol w:w="761"/>
        <w:gridCol w:w="168"/>
        <w:gridCol w:w="147"/>
        <w:gridCol w:w="198"/>
        <w:gridCol w:w="761"/>
        <w:gridCol w:w="591"/>
      </w:tblGrid>
      <w:tr>
        <w:trPr/>
        <w:tc>
          <w:tcPr>
            <w:tcW w:w="6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joint development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shares for Convertible note interest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loss on share subscription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 and accretion of discount on available-for-sale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convertible notes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employee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(57,015</w:t>
            </w:r>
          </w:p>
        </w:tc>
        <w:tc>
          <w:tcPr>
            <w:tcW w:w="1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(148,072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63,966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(86,516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in connection with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 costs related to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equity-related funding in connection with the JDA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of taxes withheld on net settled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 costs related to 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Beginning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Ending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43,235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for Convertible note interest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Public offering issuance cost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 obtained in exchange for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Joint development agreement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subscription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Unpaid property, plant and equipment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AEVA TECHNOLOGIES, INC.</w:t>
      </w:r>
    </w:p>
    <w:p>
      <w:pPr>
        <w:pStyle w:val="TextBody"/>
        <w:bidi w:val="0"/>
        <w:jc w:val="center"/>
        <w:rPr>
          <w:rFonts w:ascii="Times New Roman" w:hAnsi="Times New Roman"/>
          <w:b/>
          <w:color w:val="000000"/>
          <w:sz w:val="18"/>
        </w:rPr>
      </w:pPr>
      <w:bookmarkStart w:id="9" w:name="notes_to_financial_statements"/>
      <w:bookmarkEnd w:id="9"/>
      <w:r>
        <w:rPr>
          <w:rFonts w:ascii="Times New Roman" w:hAnsi="Times New Roman"/>
          <w:b/>
          <w:color w:val="000000"/>
          <w:sz w:val="18"/>
        </w:rPr>
        <w:t>NOTES TO CONDENSED CONSOLIDATED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Note 1. Description of Business and Summary of Significant Accounting Policies</w:t>
      </w:r>
    </w:p>
    <w:p>
      <w:pPr>
        <w:pStyle w:val="TextBody"/>
        <w:bidi w:val="0"/>
        <w:spacing w:before="140" w:after="283"/>
        <w:jc w:val="left"/>
        <w:rPr>
          <w:rFonts w:ascii="Times New Roman" w:hAnsi="Times New Roman"/>
          <w:b/>
          <w:i/>
          <w:color w:val="000000"/>
          <w:sz w:val="18"/>
        </w:rPr>
      </w:pPr>
      <w:r>
        <w:rPr>
          <w:rFonts w:ascii="Times New Roman" w:hAnsi="Times New Roman"/>
          <w:b/>
          <w:i/>
          <w:color w:val="000000"/>
          <w:sz w:val="18"/>
        </w:rPr>
        <w:t>Description of Business</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Aeva Technologies, Inc. (the “Company”), through its Frequency Modulated Continuous Wave (“FMCW”) sensing technology, designs a 4D LiDAR-on-chip that, along with its proprietary software applications, has the potential to enable the adoption of LiDAR across broad applications from automated driving to consumer electronics, consumer health, industrial automation and security application.</w:t>
      </w:r>
    </w:p>
    <w:p>
      <w:pPr>
        <w:pStyle w:val="TextBody"/>
        <w:bidi w:val="0"/>
        <w:spacing w:before="180" w:after="283"/>
        <w:jc w:val="left"/>
        <w:rPr>
          <w:rFonts w:ascii="Times New Roman" w:hAnsi="Times New Roman"/>
          <w:sz w:val="20"/>
        </w:rPr>
      </w:pPr>
      <w:r>
        <w:rPr>
          <w:rFonts w:ascii="Times New Roman" w:hAnsi="Times New Roman"/>
          <w:color w:val="000000"/>
          <w:sz w:val="18"/>
        </w:rPr>
        <w:t>The Company’s common stock is listed on the Nasdaq Global Select Market under the symbols “AEVA”.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Basis of Presentation and Unaudited Interim Financial Statements</w:t>
      </w:r>
    </w:p>
    <w:p>
      <w:pPr>
        <w:pStyle w:val="TextBody"/>
        <w:bidi w:val="0"/>
        <w:spacing w:before="140" w:after="283"/>
        <w:jc w:val="left"/>
        <w:rPr>
          <w:rFonts w:ascii="Times New Roman" w:hAnsi="Times New Roman"/>
          <w:sz w:val="20"/>
        </w:rPr>
      </w:pPr>
      <w:r>
        <w:rPr>
          <w:rFonts w:ascii="Times New Roman" w:hAnsi="Times New Roman"/>
          <w:color w:val="000000"/>
          <w:sz w:val="18"/>
        </w:rPr>
        <w:t>The condensed consolidated financial statements are prepared in accordance with accounting principles generally accepted in the United States of America ("U.S. GAAP"). The condensed consolidated financial statements include the accounts of the Company’s wholly-owned subsidiaries.</w:t>
      </w:r>
      <w:r>
        <w:rPr>
          <w:rFonts w:ascii="Times New Roman" w:hAnsi="Times New Roman"/>
          <w:color w:val="FF0000"/>
          <w:sz w:val="20"/>
        </w:rPr>
        <w:t xml:space="preserve"> </w:t>
      </w:r>
      <w:r>
        <w:rPr>
          <w:rFonts w:ascii="Times New Roman" w:hAnsi="Times New Roman"/>
          <w:color w:val="000000"/>
          <w:sz w:val="18"/>
        </w:rPr>
        <w:t>All intercompany transactions and balances have been eliminated upon consolidation.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accompanying condensed consolidated financial statements are unaudited and have been prepared on the same basis as the annual consolidated financial statements and, in the opinion of management, reflect all adjustments, which include only normal recurring adjustments, necessary to present fairly the Company’s financial position, results of operations, comprehensive loss and cash flows for the periods presented, but are not necessarily indicative of the results of operations to be anticipated for any future annual or interim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These condensed consolidated financial statements and other information presented in this Form 10-Q should be read in conjunction with the consolidated financial statements and the related notes included in the Company’s Annual Report on Form 10-K for the fiscal year ended December 31, 2025 filed with the SEC.</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b/>
          <w:i/>
          <w:color w:val="000000"/>
          <w:sz w:val="18"/>
        </w:rPr>
        <w:t>Public Offering</w:t>
      </w:r>
      <w:r>
        <w:rPr>
          <w:rFonts w:ascii="Times New Roman" w:hAnsi="Times New Roman"/>
          <w:color w:val="000000"/>
          <w:sz w:val="20"/>
        </w:rPr>
        <w:t xml:space="preserve"> </w:t>
      </w:r>
    </w:p>
    <w:p>
      <w:pPr>
        <w:pStyle w:val="TextBody"/>
        <w:bidi w:val="0"/>
        <w:spacing w:before="216" w:after="160"/>
        <w:jc w:val="left"/>
        <w:rPr>
          <w:rFonts w:ascii="Times New Roman" w:hAnsi="Times New Roman"/>
          <w:sz w:val="20"/>
        </w:rPr>
      </w:pPr>
      <w:r>
        <w:rPr>
          <w:rFonts w:ascii="Times New Roman" w:hAnsi="Times New Roman"/>
          <w:color w:val="000000"/>
          <w:sz w:val="18"/>
        </w:rPr>
        <w:t>On June 5,</w:t>
      </w:r>
      <w:r>
        <w:rPr>
          <w:rFonts w:ascii="Times New Roman" w:hAnsi="Times New Roman"/>
          <w:color w:val="000000"/>
          <w:sz w:val="20"/>
        </w:rPr>
        <w:t xml:space="preserve"> </w:t>
      </w:r>
      <w:r>
        <w:rPr>
          <w:rFonts w:ascii="Times New Roman" w:hAnsi="Times New Roman"/>
          <w:color w:val="000000"/>
          <w:sz w:val="18"/>
        </w:rPr>
        <w:t>2026, the Company completed an underwritten public offering of 5,168,539</w:t>
      </w:r>
      <w:r>
        <w:rPr>
          <w:rFonts w:ascii="Times New Roman" w:hAnsi="Times New Roman"/>
          <w:color w:val="000000"/>
          <w:sz w:val="20"/>
        </w:rPr>
        <w:t xml:space="preserve"> </w:t>
      </w:r>
      <w:r>
        <w:rPr>
          <w:rFonts w:ascii="Times New Roman" w:hAnsi="Times New Roman"/>
          <w:color w:val="000000"/>
          <w:sz w:val="18"/>
        </w:rPr>
        <w:t>shares of its common stock, including 674,157</w:t>
      </w:r>
      <w:r>
        <w:rPr>
          <w:rFonts w:ascii="Times New Roman" w:hAnsi="Times New Roman"/>
          <w:color w:val="000000"/>
          <w:sz w:val="20"/>
        </w:rPr>
        <w:t xml:space="preserve"> </w:t>
      </w:r>
      <w:r>
        <w:rPr>
          <w:rFonts w:ascii="Times New Roman" w:hAnsi="Times New Roman"/>
          <w:color w:val="000000"/>
          <w:sz w:val="18"/>
        </w:rPr>
        <w:t>shares sold pursuant to the underwriters’ exercise of their option to purchase additional shares, at a public offering price of $22.25</w:t>
      </w:r>
      <w:r>
        <w:rPr>
          <w:rFonts w:ascii="Times New Roman" w:hAnsi="Times New Roman"/>
          <w:color w:val="000000"/>
          <w:sz w:val="20"/>
        </w:rPr>
        <w:t xml:space="preserve"> </w:t>
      </w:r>
      <w:r>
        <w:rPr>
          <w:rFonts w:ascii="Times New Roman" w:hAnsi="Times New Roman"/>
          <w:color w:val="000000"/>
          <w:sz w:val="18"/>
        </w:rPr>
        <w:t>per share, for an aggregate offering price of approximately $115.0</w:t>
      </w:r>
      <w:r>
        <w:rPr>
          <w:rFonts w:ascii="Times New Roman" w:hAnsi="Times New Roman"/>
          <w:color w:val="000000"/>
          <w:sz w:val="20"/>
        </w:rPr>
        <w:t xml:space="preserve"> </w:t>
      </w:r>
      <w:r>
        <w:rPr>
          <w:rFonts w:ascii="Times New Roman" w:hAnsi="Times New Roman"/>
          <w:color w:val="000000"/>
          <w:sz w:val="18"/>
        </w:rPr>
        <w:t>million. We received net proceeds of $108.8</w:t>
      </w:r>
      <w:r>
        <w:rPr>
          <w:rFonts w:ascii="Times New Roman" w:hAnsi="Times New Roman"/>
          <w:color w:val="000000"/>
          <w:sz w:val="20"/>
        </w:rPr>
        <w:t xml:space="preserve"> </w:t>
      </w:r>
      <w:r>
        <w:rPr>
          <w:rFonts w:ascii="Times New Roman" w:hAnsi="Times New Roman"/>
          <w:color w:val="000000"/>
          <w:sz w:val="18"/>
        </w:rPr>
        <w:t>million from the offering after deducting underwriters’ discounts and commissions of $5.8</w:t>
      </w:r>
      <w:r>
        <w:rPr>
          <w:rFonts w:ascii="Times New Roman" w:hAnsi="Times New Roman"/>
          <w:color w:val="000000"/>
          <w:sz w:val="20"/>
        </w:rPr>
        <w:t xml:space="preserve"> </w:t>
      </w:r>
      <w:r>
        <w:rPr>
          <w:rFonts w:ascii="Times New Roman" w:hAnsi="Times New Roman"/>
          <w:color w:val="000000"/>
          <w:sz w:val="18"/>
        </w:rPr>
        <w:t>million and offering costs of $0.4</w:t>
      </w:r>
      <w:r>
        <w:rPr>
          <w:rFonts w:ascii="Times New Roman" w:hAnsi="Times New Roman"/>
          <w:color w:val="000000"/>
          <w:sz w:val="20"/>
        </w:rPr>
        <w:t xml:space="preserve"> </w:t>
      </w:r>
      <w:r>
        <w:rPr>
          <w:rFonts w:ascii="Times New Roman" w:hAnsi="Times New Roman"/>
          <w:color w:val="000000"/>
          <w:sz w:val="18"/>
        </w:rPr>
        <w:t>million. The offering was conducted pursuant to the Company's effective registration statement on Form S-3.</w:t>
      </w:r>
      <w:r>
        <w:rPr>
          <w:rFonts w:ascii="Times New Roman" w:hAnsi="Times New Roman"/>
          <w:color w:val="000000"/>
          <w:sz w:val="20"/>
        </w:rPr>
        <w:t xml:space="preserve"> </w:t>
      </w:r>
    </w:p>
    <w:p>
      <w:pPr>
        <w:pStyle w:val="TextBody"/>
        <w:bidi w:val="0"/>
        <w:spacing w:before="56" w:after="283"/>
        <w:jc w:val="left"/>
        <w:rPr>
          <w:rFonts w:ascii="Times New Roman" w:hAnsi="Times New Roman"/>
          <w:b/>
          <w:i/>
          <w:color w:val="000000"/>
          <w:sz w:val="18"/>
        </w:rPr>
      </w:pPr>
      <w:r>
        <w:rPr>
          <w:rFonts w:ascii="Times New Roman" w:hAnsi="Times New Roman"/>
          <w:b/>
          <w:i/>
          <w:color w:val="000000"/>
          <w:sz w:val="18"/>
        </w:rPr>
        <w:t>Principles of Consolidation and Liquidity</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The condensed consolidated financial statements are prepared in accordance with U.S. GAAP. The condensed consolidated financial statements include the accounts of the Company’s wholly-owned subsidiaries. All intercompany balances and transactions have been eliminated in consolidation.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Company has funded its operations primarily through the business combination with InterPrivate Acquisition Corp. (the Company’s predecessor, which was originally incorporated in Delaware as a special purpose acquisition company (“IPV”)), on March 12, 2021 (the “Business Combination”), and issuances of convertible notes and common stock. As of June 30, 2026, the Company’s existing sources of liquidity included cash and cash equivalents and marketable securities of $177.9</w:t>
      </w:r>
      <w:r>
        <w:rPr>
          <w:rFonts w:ascii="Times New Roman" w:hAnsi="Times New Roman"/>
          <w:color w:val="000000"/>
          <w:sz w:val="20"/>
        </w:rPr>
        <w:t xml:space="preserve"> </w:t>
      </w:r>
      <w:r>
        <w:rPr>
          <w:rFonts w:ascii="Times New Roman" w:hAnsi="Times New Roman"/>
          <w:color w:val="000000"/>
          <w:sz w:val="18"/>
        </w:rPr>
        <w:t>million. The Company has a limited history of operations and has incurred negative cash flows from operating activities and losses from operations in the past as reflected in the accumulated deficit of $871.9</w:t>
      </w:r>
      <w:r>
        <w:rPr>
          <w:rFonts w:ascii="Times New Roman" w:hAnsi="Times New Roman"/>
          <w:color w:val="000000"/>
          <w:sz w:val="20"/>
        </w:rPr>
        <w:t xml:space="preserve"> </w:t>
      </w:r>
      <w:r>
        <w:rPr>
          <w:rFonts w:ascii="Times New Roman" w:hAnsi="Times New Roman"/>
          <w:color w:val="000000"/>
          <w:sz w:val="18"/>
        </w:rPr>
        <w:t>million as of June 30, 2026. The Company expects to continue to incur operating losses due to the investments it intends to make in its business, including product development. Management believes that existing cash and cash equivalents, marketable securities, and the Standby Equity Purchase Agreement (the “Facility Agreement,” Note 10) will be sufficient to fund operating and capital expenditure requirements through at least 12 months</w:t>
      </w:r>
      <w:r>
        <w:rPr>
          <w:rFonts w:ascii="Times New Roman" w:hAnsi="Times New Roman"/>
          <w:color w:val="000000"/>
          <w:sz w:val="20"/>
        </w:rPr>
        <w:t xml:space="preserve"> </w:t>
      </w:r>
      <w:r>
        <w:rPr>
          <w:rFonts w:ascii="Times New Roman" w:hAnsi="Times New Roman"/>
          <w:color w:val="000000"/>
          <w:sz w:val="18"/>
        </w:rPr>
        <w:t>from the date of issuance of these condensed consolidated financial statements.</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Significant Risks and Uncertainties</w:t>
      </w:r>
    </w:p>
    <w:p>
      <w:pPr>
        <w:pStyle w:val="TextBody"/>
        <w:bidi w:val="0"/>
        <w:spacing w:before="144" w:after="283"/>
        <w:jc w:val="left"/>
        <w:rPr>
          <w:rFonts w:ascii="Times New Roman" w:hAnsi="Times New Roman"/>
          <w:sz w:val="20"/>
        </w:rPr>
      </w:pPr>
      <w:r>
        <w:rPr>
          <w:rFonts w:ascii="Times New Roman" w:hAnsi="Times New Roman"/>
          <w:color w:val="000000"/>
          <w:sz w:val="18"/>
        </w:rPr>
        <w:t>The Company is subject to those risks common in the technology industry and also those risks common to early stage companies, including, but not limited to, the possibility of not being able to successfully develop or market its products, technological obsolescence, competition, dependence on key personnel and key external alliances, the successful protection of its proprietary technologies, compliance with government regulations, and the possibility of not being able to obtain additional financing when needed.</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Concentration of Credit Risk</w:t>
      </w:r>
    </w:p>
    <w:p>
      <w:pPr>
        <w:pStyle w:val="TextBody"/>
        <w:bidi w:val="0"/>
        <w:spacing w:before="144" w:after="283"/>
        <w:jc w:val="left"/>
        <w:rPr>
          <w:rFonts w:ascii="Times New Roman" w:hAnsi="Times New Roman"/>
          <w:sz w:val="20"/>
        </w:rPr>
      </w:pPr>
      <w:r>
        <w:rPr>
          <w:rFonts w:ascii="Times New Roman" w:hAnsi="Times New Roman"/>
          <w:color w:val="000000"/>
          <w:sz w:val="18"/>
        </w:rPr>
        <w:t>Financial instruments that potentially subject the Company to significant concentrations of credit risk consist primarily of cash, cash equivalents, marketable securities, and trade receivables. The Company maintains the majority of its cash and cash equivalents in accounts with large financial institutions. At times, balances in these accounts may exceed federally insured limits; however, to date, the Company has not incurred any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losses on its deposits of cash and cash equivalents and believes the exposure to risk of loss is not material. Risks associated with the Company’s marketable securities is mitigated by investing in investment-grade rated securities when purchased.</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Company’s accounts receivable are derived from customers located in North America, Asia, and Europe. The Company mitigates its credit risks by performing ongoing credit evaluations of its customers’ financial conditions and requires customer advance payments in certain circumstances. The Company generally does not require collateral.</w:t>
      </w:r>
    </w:p>
    <w:p>
      <w:pPr>
        <w:pStyle w:val="TextBody"/>
        <w:bidi w:val="0"/>
        <w:spacing w:before="180" w:after="283"/>
        <w:jc w:val="left"/>
        <w:rPr>
          <w:rFonts w:ascii="Times New Roman" w:hAnsi="Times New Roman"/>
          <w:sz w:val="20"/>
        </w:rPr>
      </w:pPr>
      <w:r>
        <w:rPr>
          <w:rFonts w:ascii="Times New Roman" w:hAnsi="Times New Roman"/>
          <w:color w:val="000000"/>
          <w:sz w:val="18"/>
        </w:rPr>
        <w:t>As of June 30, 2026, one customer</w:t>
      </w:r>
      <w:r>
        <w:rPr>
          <w:rFonts w:ascii="Times New Roman" w:hAnsi="Times New Roman"/>
          <w:color w:val="000000"/>
          <w:sz w:val="20"/>
        </w:rPr>
        <w:t xml:space="preserve"> </w:t>
      </w:r>
      <w:r>
        <w:rPr>
          <w:rFonts w:ascii="Times New Roman" w:hAnsi="Times New Roman"/>
          <w:color w:val="000000"/>
          <w:sz w:val="18"/>
        </w:rPr>
        <w:t>accounted for 28% of accounts receivable and as of December 31, 2025, three customers</w:t>
      </w:r>
      <w:r>
        <w:rPr>
          <w:rFonts w:ascii="Times New Roman" w:hAnsi="Times New Roman"/>
          <w:color w:val="000000"/>
          <w:sz w:val="20"/>
        </w:rPr>
        <w:t xml:space="preserve"> </w:t>
      </w:r>
      <w:r>
        <w:rPr>
          <w:rFonts w:ascii="Times New Roman" w:hAnsi="Times New Roman"/>
          <w:color w:val="000000"/>
          <w:sz w:val="18"/>
        </w:rPr>
        <w:t>accounted for 72% of accounts receivable. As of June 30, 2026, two vendors</w:t>
      </w:r>
      <w:r>
        <w:rPr>
          <w:rFonts w:ascii="Times New Roman" w:hAnsi="Times New Roman"/>
          <w:color w:val="000000"/>
          <w:sz w:val="20"/>
        </w:rPr>
        <w:t xml:space="preserve"> </w:t>
      </w:r>
      <w:r>
        <w:rPr>
          <w:rFonts w:ascii="Times New Roman" w:hAnsi="Times New Roman"/>
          <w:color w:val="000000"/>
          <w:sz w:val="18"/>
        </w:rPr>
        <w:t>accounted for 27% of accounts payable and as of December 31, 2025, three vendors</w:t>
      </w:r>
      <w:r>
        <w:rPr>
          <w:rFonts w:ascii="Times New Roman" w:hAnsi="Times New Roman"/>
          <w:color w:val="000000"/>
          <w:sz w:val="20"/>
        </w:rPr>
        <w:t xml:space="preserve"> </w:t>
      </w:r>
      <w:r>
        <w:rPr>
          <w:rFonts w:ascii="Times New Roman" w:hAnsi="Times New Roman"/>
          <w:color w:val="000000"/>
          <w:sz w:val="18"/>
        </w:rPr>
        <w:t>accounted for 33% of accounts payable.</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Provision for Anticipated Losses on Contracts</w:t>
      </w:r>
    </w:p>
    <w:p>
      <w:pPr>
        <w:pStyle w:val="TextBody"/>
        <w:bidi w:val="0"/>
        <w:spacing w:before="180" w:after="283"/>
        <w:jc w:val="left"/>
        <w:rPr>
          <w:rFonts w:ascii="Times New Roman" w:hAnsi="Times New Roman"/>
          <w:sz w:val="20"/>
        </w:rPr>
      </w:pPr>
      <w:r>
        <w:rPr>
          <w:rFonts w:ascii="Times New Roman" w:hAnsi="Times New Roman"/>
          <w:color w:val="000000"/>
          <w:sz w:val="18"/>
        </w:rPr>
        <w:t xml:space="preserve">When estimated contract costs exceed expected consideration under contracts with a customer, the Company evaluates whether the nature of the contract is in the scope of Accounting Standards Codification (“ASC”) 605-35, </w:t>
      </w:r>
      <w:r>
        <w:rPr>
          <w:rFonts w:ascii="Times New Roman" w:hAnsi="Times New Roman"/>
          <w:i/>
          <w:color w:val="000000"/>
          <w:sz w:val="18"/>
        </w:rPr>
        <w:t>Revenue Recognition - Construction-Type and Production-Type Contracts</w:t>
      </w:r>
      <w:r>
        <w:rPr>
          <w:rFonts w:ascii="Times New Roman" w:hAnsi="Times New Roman"/>
          <w:color w:val="000000"/>
          <w:sz w:val="20"/>
        </w:rPr>
        <w:t xml:space="preserve"> </w:t>
      </w:r>
      <w:r>
        <w:rPr>
          <w:rFonts w:ascii="Times New Roman" w:hAnsi="Times New Roman"/>
          <w:color w:val="000000"/>
          <w:sz w:val="18"/>
        </w:rPr>
        <w:t>(“ASC 605-35”). If ASC 605-35 applies, the Company recognizes a provision for the entire anticipated losses on contracts as soon as the loss becomes evident. In determining the anticipated losses, the Company considers the principles in ASC 606-10-32-2 through 32-27 (except for the guidance in paragraphs 606-10-32-11 through 32-13 on constraining estimates of variable consideration) to determine the transaction price, adjusted to reflect the effects of the customer's credit risk. The costs used in arriving at the estimated loss on a contract shall include all costs of the type allocable to contracts under paragraphs 340-40-25-5 through 25-8. Provisions for anticipated losses, are classified in accrued liabilities on the condensed consolidated balance sheets.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following table presents a summary of the changes in the value of the provision for anticipated losses (in thousands):</w:t>
      </w:r>
    </w:p>
    <w:tbl>
      <w:tblPr>
        <w:tblW w:w="6370" w:type="dxa"/>
        <w:jc w:val="left"/>
        <w:tblInd w:w="0" w:type="dxa"/>
        <w:tblLayout w:type="fixed"/>
        <w:tblCellMar>
          <w:top w:w="28" w:type="dxa"/>
          <w:left w:w="28" w:type="dxa"/>
          <w:bottom w:w="28" w:type="dxa"/>
          <w:right w:w="28" w:type="dxa"/>
        </w:tblCellMar>
      </w:tblPr>
      <w:tblGrid>
        <w:gridCol w:w="3001"/>
        <w:gridCol w:w="146"/>
        <w:gridCol w:w="295"/>
        <w:gridCol w:w="860"/>
        <w:gridCol w:w="166"/>
        <w:gridCol w:w="146"/>
        <w:gridCol w:w="427"/>
        <w:gridCol w:w="1118"/>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contract liability,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anticipated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loss contract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contract liability, closing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Recent Accounting Pronouncements</w:t>
      </w:r>
    </w:p>
    <w:p>
      <w:pPr>
        <w:pStyle w:val="TextBody"/>
        <w:bidi w:val="0"/>
        <w:spacing w:before="180" w:after="283"/>
        <w:jc w:val="left"/>
        <w:rPr>
          <w:rFonts w:ascii="Times New Roman" w:hAnsi="Times New Roman"/>
          <w:sz w:val="20"/>
        </w:rPr>
      </w:pPr>
      <w:r>
        <w:rPr>
          <w:rFonts w:ascii="Times New Roman" w:hAnsi="Times New Roman"/>
          <w:color w:val="000000"/>
          <w:sz w:val="18"/>
        </w:rPr>
        <w:t>In November 2024, the FASB issued ASU 2024-03 “</w:t>
      </w:r>
      <w:r>
        <w:rPr>
          <w:rFonts w:ascii="Times New Roman" w:hAnsi="Times New Roman"/>
          <w:i/>
          <w:color w:val="000000"/>
          <w:sz w:val="18"/>
        </w:rPr>
        <w:t>Income Statement: Reporting Comprehensive Income-Expense Disaggregation Disclosures (Subtopic 220-40)</w:t>
      </w:r>
      <w:r>
        <w:rPr>
          <w:rFonts w:ascii="Times New Roman" w:hAnsi="Times New Roman"/>
          <w:color w:val="000000"/>
          <w:sz w:val="20"/>
        </w:rPr>
        <w:t xml:space="preserve">” </w:t>
      </w:r>
      <w:r>
        <w:rPr>
          <w:rFonts w:ascii="Times New Roman" w:hAnsi="Times New Roman"/>
          <w:color w:val="000000"/>
          <w:sz w:val="18"/>
        </w:rPr>
        <w:t>to improve the disclosures about an entity’s expenses. Upon adoption, the Company will be required to disclose in the notes to the financial statements a disaggregation of certain expense categories included within the expense captions on the face of the income statement. The standard is effective for the Company's 2027 annual period, and interim periods beginning in 2028, with early adoption permitted. The standard can be applied either prospectively or retrospectively. The Company is currently evaluating the potential effect that the updated standard will have on the condensed consolidated financial statements and related disclosures.</w:t>
      </w:r>
    </w:p>
    <w:p>
      <w:pPr>
        <w:pStyle w:val="TextBody"/>
        <w:bidi w:val="0"/>
        <w:spacing w:before="20" w:after="283"/>
        <w:jc w:val="left"/>
        <w:rPr/>
      </w:pPr>
      <w:r>
        <w:rPr/>
        <w:t> </w:t>
      </w:r>
    </w:p>
    <w:p>
      <w:pPr>
        <w:pStyle w:val="TextBody"/>
        <w:bidi w:val="0"/>
        <w:spacing w:before="20" w:after="283"/>
        <w:jc w:val="left"/>
        <w:rPr>
          <w:rFonts w:ascii="Times New Roman" w:hAnsi="Times New Roman"/>
          <w:b/>
          <w:color w:val="000000"/>
          <w:sz w:val="18"/>
        </w:rPr>
      </w:pPr>
      <w:r>
        <w:rPr>
          <w:rFonts w:ascii="Times New Roman" w:hAnsi="Times New Roman"/>
          <w:b/>
          <w:color w:val="000000"/>
          <w:sz w:val="18"/>
        </w:rPr>
        <w:t>Note 2. Revenue</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Disaggregation of Revenues</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The Company disaggregates its revenue from contracts with customers by geographic region based on the primary billing address of the customer and timing of transfer of goods or services to customers (point-in-time or over time), as it believes it best depicts how the nature, amount, timing and uncertainty of its revenue and cash flows are affected by economic factors. Total revenue for the three months ended June 30, 2026 and 2025, based on the disaggregation criteria described above were as follows (in thousands):</w:t>
      </w:r>
    </w:p>
    <w:p>
      <w:pPr>
        <w:pStyle w:val="TextBody"/>
        <w:bidi w:val="0"/>
        <w:jc w:val="left"/>
        <w:rPr/>
      </w:pPr>
      <w:r>
        <w:rPr/>
        <w:t> </w:t>
      </w:r>
    </w:p>
    <w:tbl>
      <w:tblPr>
        <w:tblW w:w="8811" w:type="dxa"/>
        <w:jc w:val="left"/>
        <w:tblInd w:w="0" w:type="dxa"/>
        <w:tblLayout w:type="fixed"/>
        <w:tblCellMar>
          <w:top w:w="28" w:type="dxa"/>
          <w:left w:w="28" w:type="dxa"/>
          <w:bottom w:w="28" w:type="dxa"/>
          <w:right w:w="28" w:type="dxa"/>
        </w:tblCellMar>
      </w:tblPr>
      <w:tblGrid>
        <w:gridCol w:w="3376"/>
        <w:gridCol w:w="146"/>
        <w:gridCol w:w="212"/>
        <w:gridCol w:w="554"/>
        <w:gridCol w:w="146"/>
        <w:gridCol w:w="146"/>
        <w:gridCol w:w="331"/>
        <w:gridCol w:w="854"/>
        <w:gridCol w:w="256"/>
        <w:gridCol w:w="146"/>
        <w:gridCol w:w="212"/>
        <w:gridCol w:w="554"/>
        <w:gridCol w:w="146"/>
        <w:gridCol w:w="146"/>
        <w:gridCol w:w="331"/>
        <w:gridCol w:w="854"/>
        <w:gridCol w:w="40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Revenue</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by primary geographical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by timing of recognition: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Recognized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Recognized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Total revenue for the six months ended June 30, 2026 and 2025, based on the disaggregation criteria described above were as follows (in thousands):</w:t>
      </w:r>
    </w:p>
    <w:p>
      <w:pPr>
        <w:pStyle w:val="TextBody"/>
        <w:bidi w:val="0"/>
        <w:spacing w:before="144" w:after="283"/>
        <w:jc w:val="left"/>
        <w:rPr/>
      </w:pPr>
      <w:r>
        <w:rPr/>
        <w:t> </w:t>
      </w:r>
    </w:p>
    <w:tbl>
      <w:tblPr>
        <w:tblW w:w="8842" w:type="dxa"/>
        <w:jc w:val="left"/>
        <w:tblInd w:w="0" w:type="dxa"/>
        <w:tblLayout w:type="fixed"/>
        <w:tblCellMar>
          <w:top w:w="28" w:type="dxa"/>
          <w:left w:w="28" w:type="dxa"/>
          <w:bottom w:w="28" w:type="dxa"/>
          <w:right w:w="28" w:type="dxa"/>
        </w:tblCellMar>
      </w:tblPr>
      <w:tblGrid>
        <w:gridCol w:w="3376"/>
        <w:gridCol w:w="146"/>
        <w:gridCol w:w="196"/>
        <w:gridCol w:w="601"/>
        <w:gridCol w:w="146"/>
        <w:gridCol w:w="146"/>
        <w:gridCol w:w="331"/>
        <w:gridCol w:w="854"/>
        <w:gridCol w:w="256"/>
        <w:gridCol w:w="146"/>
        <w:gridCol w:w="212"/>
        <w:gridCol w:w="554"/>
        <w:gridCol w:w="146"/>
        <w:gridCol w:w="146"/>
        <w:gridCol w:w="331"/>
        <w:gridCol w:w="854"/>
        <w:gridCol w:w="40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Revenue</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by primary geographical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by timing of recognition: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Recognized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Recognized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44" w:after="283"/>
        <w:jc w:val="left"/>
        <w:rPr>
          <w:rFonts w:ascii="Times New Roman" w:hAnsi="Times New Roman"/>
          <w:sz w:val="20"/>
        </w:rPr>
      </w:pPr>
      <w:r>
        <w:rPr>
          <w:rFonts w:ascii="Times New Roman" w:hAnsi="Times New Roman"/>
          <w:color w:val="000000"/>
          <w:sz w:val="18"/>
        </w:rPr>
        <w:t>The revenue recognized at a point in time was related to product revenue and revenue recognized over time was from non-recurring engineering services.</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color w:val="000000"/>
          <w:sz w:val="18"/>
        </w:rPr>
        <w:t>For the three months ended June 30, 2026, two</w:t>
      </w:r>
      <w:r>
        <w:rPr>
          <w:rFonts w:ascii="Times New Roman" w:hAnsi="Times New Roman"/>
          <w:color w:val="000000"/>
          <w:sz w:val="20"/>
        </w:rPr>
        <w:t xml:space="preserve"> </w:t>
      </w:r>
      <w:r>
        <w:rPr>
          <w:rFonts w:ascii="Times New Roman" w:hAnsi="Times New Roman"/>
          <w:color w:val="000000"/>
          <w:sz w:val="18"/>
        </w:rPr>
        <w:t>customers accounted for 32% and 30% of the Company’s revenue, respectively. For the three months ended June 30, 2025, three</w:t>
      </w:r>
      <w:r>
        <w:rPr>
          <w:rFonts w:ascii="Times New Roman" w:hAnsi="Times New Roman"/>
          <w:color w:val="000000"/>
          <w:sz w:val="20"/>
        </w:rPr>
        <w:t xml:space="preserve"> </w:t>
      </w:r>
      <w:r>
        <w:rPr>
          <w:rFonts w:ascii="Times New Roman" w:hAnsi="Times New Roman"/>
          <w:color w:val="000000"/>
          <w:sz w:val="18"/>
        </w:rPr>
        <w:t>customers accounted for 36%, 16% and 14% of the Company’s revenue, respectively.</w:t>
      </w:r>
    </w:p>
    <w:p>
      <w:pPr>
        <w:pStyle w:val="TextBody"/>
        <w:bidi w:val="0"/>
        <w:spacing w:before="144" w:after="283"/>
        <w:jc w:val="left"/>
        <w:rPr>
          <w:rFonts w:ascii="Times New Roman" w:hAnsi="Times New Roman"/>
          <w:sz w:val="20"/>
        </w:rPr>
      </w:pPr>
      <w:r>
        <w:rPr>
          <w:rFonts w:ascii="Times New Roman" w:hAnsi="Times New Roman"/>
          <w:color w:val="000000"/>
          <w:sz w:val="18"/>
        </w:rPr>
        <w:t>For the six months ended June 30, 2026, two</w:t>
      </w:r>
      <w:r>
        <w:rPr>
          <w:rFonts w:ascii="Times New Roman" w:hAnsi="Times New Roman"/>
          <w:color w:val="000000"/>
          <w:sz w:val="20"/>
        </w:rPr>
        <w:t xml:space="preserve"> </w:t>
      </w:r>
      <w:r>
        <w:rPr>
          <w:rFonts w:ascii="Times New Roman" w:hAnsi="Times New Roman"/>
          <w:color w:val="000000"/>
          <w:sz w:val="18"/>
        </w:rPr>
        <w:t>customers accounted for 40% and 19% of the Company’s revenue, respectively. For the three months ended June 30, 2025, three</w:t>
      </w:r>
      <w:r>
        <w:rPr>
          <w:rFonts w:ascii="Times New Roman" w:hAnsi="Times New Roman"/>
          <w:color w:val="000000"/>
          <w:sz w:val="20"/>
        </w:rPr>
        <w:t xml:space="preserve"> </w:t>
      </w:r>
      <w:r>
        <w:rPr>
          <w:rFonts w:ascii="Times New Roman" w:hAnsi="Times New Roman"/>
          <w:color w:val="000000"/>
          <w:sz w:val="18"/>
        </w:rPr>
        <w:t>customers accounted for 45%, 17% and 10% of the Company’s revenue, respectively.</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Contract Assets and Contract Liabilities</w:t>
      </w:r>
    </w:p>
    <w:p>
      <w:pPr>
        <w:pStyle w:val="TextBody"/>
        <w:bidi w:val="0"/>
        <w:spacing w:before="144" w:after="283"/>
        <w:jc w:val="left"/>
        <w:rPr>
          <w:rFonts w:ascii="Times New Roman" w:hAnsi="Times New Roman"/>
          <w:sz w:val="20"/>
        </w:rPr>
      </w:pPr>
      <w:bookmarkStart w:id="10" w:name="bkmk_643"/>
      <w:bookmarkEnd w:id="10"/>
      <w:r>
        <w:rPr>
          <w:rFonts w:ascii="Times New Roman" w:hAnsi="Times New Roman"/>
          <w:color w:val="000000"/>
          <w:sz w:val="18"/>
        </w:rPr>
        <w:t>As of June 30, 2026 the Company had contract assets of $7.8</w:t>
      </w:r>
      <w:r>
        <w:rPr>
          <w:rFonts w:ascii="Times New Roman" w:hAnsi="Times New Roman"/>
          <w:color w:val="000000"/>
          <w:sz w:val="20"/>
        </w:rPr>
        <w:t xml:space="preserve"> </w:t>
      </w:r>
      <w:r>
        <w:rPr>
          <w:rFonts w:ascii="Times New Roman" w:hAnsi="Times New Roman"/>
          <w:color w:val="000000"/>
          <w:sz w:val="18"/>
        </w:rPr>
        <w:t>million included in other current assets and other noncurrent assets. As of December 31, 2025, the Company had contract assets of $3.3</w:t>
      </w:r>
      <w:r>
        <w:rPr>
          <w:rFonts w:ascii="Times New Roman" w:hAnsi="Times New Roman"/>
          <w:color w:val="000000"/>
          <w:sz w:val="20"/>
        </w:rPr>
        <w:t xml:space="preserve"> </w:t>
      </w:r>
      <w:r>
        <w:rPr>
          <w:rFonts w:ascii="Times New Roman" w:hAnsi="Times New Roman"/>
          <w:color w:val="000000"/>
          <w:sz w:val="18"/>
        </w:rPr>
        <w:t>million included in other current assets. As of June 30 2026, and December 31, 2025, the Company had contract liabilities of $0.5</w:t>
      </w:r>
      <w:r>
        <w:rPr>
          <w:rFonts w:ascii="Times New Roman" w:hAnsi="Times New Roman"/>
          <w:color w:val="000000"/>
          <w:sz w:val="20"/>
        </w:rPr>
        <w:t xml:space="preserve"> </w:t>
      </w:r>
      <w:r>
        <w:rPr>
          <w:rFonts w:ascii="Times New Roman" w:hAnsi="Times New Roman"/>
          <w:color w:val="000000"/>
          <w:sz w:val="18"/>
        </w:rPr>
        <w:t>million and $0</w:t>
      </w:r>
      <w:r>
        <w:rPr>
          <w:rFonts w:ascii="Times New Roman" w:hAnsi="Times New Roman"/>
          <w:color w:val="000000"/>
          <w:sz w:val="20"/>
        </w:rPr>
        <w:t xml:space="preserve"> </w:t>
      </w:r>
      <w:r>
        <w:rPr>
          <w:rFonts w:ascii="Times New Roman" w:hAnsi="Times New Roman"/>
          <w:color w:val="000000"/>
          <w:sz w:val="18"/>
        </w:rPr>
        <w:t>million, respectively, included in other current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Remaining Performance Obligations</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color w:val="000000"/>
          <w:sz w:val="18"/>
        </w:rPr>
        <w:t>As of June 30, 2026, the total amount of the transaction price allocated to unsatisfied performance obligations for contracts with an original duration greater than one year was $28.7</w:t>
      </w:r>
      <w:r>
        <w:rPr>
          <w:rFonts w:ascii="Times New Roman" w:hAnsi="Times New Roman"/>
          <w:color w:val="000000"/>
          <w:sz w:val="20"/>
        </w:rPr>
        <w:t xml:space="preserve"> </w:t>
      </w:r>
      <w:r>
        <w:rPr>
          <w:rFonts w:ascii="Times New Roman" w:hAnsi="Times New Roman"/>
          <w:color w:val="000000"/>
          <w:sz w:val="18"/>
        </w:rPr>
        <w:t>million, of which approximately 30% is expected to be recognized as revenue over the next 12 months, and the remainder thereafter. Total revenue estimates are based on negotiated contract prices and demand quantities, and could be influenced by risks and uncertainties, including manufacturing or supply chain constraints, modifications to customer agreements, and regulatory changes, among other factors. Accordingly, the actual revenue recognized for the remaining performance obligation in future periods may significantly fluctuate from these estimates.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Note 3. Financial Instruments</w:t>
      </w:r>
    </w:p>
    <w:p>
      <w:pPr>
        <w:pStyle w:val="TextBody"/>
        <w:bidi w:val="0"/>
        <w:spacing w:before="4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tables summarize the Company’s financial assets and liabilities measured at fair value by level within the fair value hierarchy: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4"/>
        <w:gridCol w:w="146"/>
        <w:gridCol w:w="216"/>
        <w:gridCol w:w="762"/>
        <w:gridCol w:w="146"/>
        <w:gridCol w:w="146"/>
        <w:gridCol w:w="383"/>
        <w:gridCol w:w="679"/>
        <w:gridCol w:w="146"/>
        <w:gridCol w:w="146"/>
        <w:gridCol w:w="389"/>
        <w:gridCol w:w="689"/>
        <w:gridCol w:w="166"/>
        <w:gridCol w:w="146"/>
        <w:gridCol w:w="197"/>
        <w:gridCol w:w="696"/>
        <w:gridCol w:w="146"/>
        <w:gridCol w:w="146"/>
        <w:gridCol w:w="313"/>
        <w:gridCol w:w="965"/>
        <w:gridCol w:w="146"/>
        <w:gridCol w:w="146"/>
        <w:gridCol w:w="263"/>
        <w:gridCol w:w="935"/>
        <w:gridCol w:w="598"/>
      </w:tblGrid>
      <w:tr>
        <w:trPr/>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and Cash Equivalent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Marketable Securities</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31,092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13,874</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57,862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31,826</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134,654</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134,654</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9"/>
        <w:gridCol w:w="146"/>
        <w:gridCol w:w="216"/>
        <w:gridCol w:w="763"/>
        <w:gridCol w:w="146"/>
        <w:gridCol w:w="146"/>
        <w:gridCol w:w="377"/>
        <w:gridCol w:w="667"/>
        <w:gridCol w:w="146"/>
        <w:gridCol w:w="146"/>
        <w:gridCol w:w="390"/>
        <w:gridCol w:w="691"/>
        <w:gridCol w:w="166"/>
        <w:gridCol w:w="146"/>
        <w:gridCol w:w="197"/>
        <w:gridCol w:w="696"/>
        <w:gridCol w:w="146"/>
        <w:gridCol w:w="146"/>
        <w:gridCol w:w="314"/>
        <w:gridCol w:w="969"/>
        <w:gridCol w:w="146"/>
        <w:gridCol w:w="146"/>
        <w:gridCol w:w="294"/>
        <w:gridCol w:w="907"/>
        <w:gridCol w:w="599"/>
      </w:tblGrid>
      <w:tr>
        <w:trPr/>
        <w:tc>
          <w:tcPr>
            <w:tcW w:w="1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and Cash Equivalent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Marketable Securities</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16,835</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5,469</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18,827</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8,477</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49,608</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49,608</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fair value of the private placement warrants, convertible notes and Series A warrants are based on significant unobservable inputs, which represent Level 3 measurements within the fair value hierarchy. The Company used the Black Scholes option pricing and the lattice model as applicable to determine the fair value of the warrant liabilities and convertible notes, respectively, using unobservable inputs including the expected term, expected volatility, risk-free interest rate, and dividend yield.</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Warrant liabilities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presents a summary of the changes in the fair value of the Series A and private placement warrants (in thousands):</w:t>
      </w:r>
    </w:p>
    <w:p>
      <w:pPr>
        <w:pStyle w:val="TextBody"/>
        <w:bidi w:val="0"/>
        <w:jc w:val="left"/>
        <w:rPr/>
      </w:pPr>
      <w:r>
        <w:rPr/>
        <w:t> </w:t>
      </w:r>
    </w:p>
    <w:tbl>
      <w:tblPr>
        <w:tblW w:w="10100" w:type="dxa"/>
        <w:jc w:val="left"/>
        <w:tblInd w:w="0" w:type="dxa"/>
        <w:tblLayout w:type="fixed"/>
        <w:tblCellMar>
          <w:top w:w="28" w:type="dxa"/>
          <w:left w:w="28" w:type="dxa"/>
          <w:bottom w:w="28" w:type="dxa"/>
          <w:right w:w="28" w:type="dxa"/>
        </w:tblCellMar>
      </w:tblPr>
      <w:tblGrid>
        <w:gridCol w:w="6751"/>
        <w:gridCol w:w="146"/>
        <w:gridCol w:w="284"/>
        <w:gridCol w:w="871"/>
        <w:gridCol w:w="146"/>
        <w:gridCol w:w="146"/>
        <w:gridCol w:w="379"/>
        <w:gridCol w:w="1166"/>
        <w:gridCol w:w="211"/>
      </w:tblGrid>
      <w:tr>
        <w:trPr/>
        <w:tc>
          <w:tcPr>
            <w:tcW w:w="6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the fair value of Series A warrants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the fair value of private placement warrants included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closing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key inputs into the Black-Scholes option pricing model for the private placement warrants were as follows for the relevant periods. These warrants expired on March 12, 2026, and they were no longer traded upon expiration:</w:t>
      </w:r>
    </w:p>
    <w:p>
      <w:pPr>
        <w:pStyle w:val="TextBody"/>
        <w:bidi w:val="0"/>
        <w:jc w:val="left"/>
        <w:rPr/>
      </w:pPr>
      <w:r>
        <w:rPr/>
        <w:t> </w:t>
      </w:r>
    </w:p>
    <w:tbl>
      <w:tblPr>
        <w:tblW w:w="3658" w:type="dxa"/>
        <w:jc w:val="left"/>
        <w:tblInd w:w="0" w:type="dxa"/>
        <w:tblLayout w:type="fixed"/>
        <w:tblCellMar>
          <w:top w:w="28" w:type="dxa"/>
          <w:left w:w="28" w:type="dxa"/>
          <w:bottom w:w="28" w:type="dxa"/>
          <w:right w:w="28" w:type="dxa"/>
        </w:tblCellMar>
      </w:tblPr>
      <w:tblGrid>
        <w:gridCol w:w="1666"/>
        <w:gridCol w:w="146"/>
        <w:gridCol w:w="427"/>
        <w:gridCol w:w="1118"/>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key inputs into the Black-Scholes option pricing model for the Series A warrants were as follows for the relevant periods:</w:t>
      </w:r>
    </w:p>
    <w:p>
      <w:pPr>
        <w:pStyle w:val="TextBody"/>
        <w:bidi w:val="0"/>
        <w:spacing w:before="40" w:after="283"/>
        <w:jc w:val="left"/>
        <w:rPr/>
      </w:pPr>
      <w:r>
        <w:rPr/>
        <w:t> </w:t>
      </w:r>
    </w:p>
    <w:tbl>
      <w:tblPr>
        <w:tblW w:w="5215" w:type="dxa"/>
        <w:jc w:val="left"/>
        <w:tblInd w:w="0" w:type="dxa"/>
        <w:tblLayout w:type="fixed"/>
        <w:tblCellMar>
          <w:top w:w="28" w:type="dxa"/>
          <w:left w:w="28" w:type="dxa"/>
          <w:bottom w:w="28" w:type="dxa"/>
          <w:right w:w="28" w:type="dxa"/>
        </w:tblCellMar>
      </w:tblPr>
      <w:tblGrid>
        <w:gridCol w:w="1666"/>
        <w:gridCol w:w="146"/>
        <w:gridCol w:w="320"/>
        <w:gridCol w:w="835"/>
        <w:gridCol w:w="256"/>
        <w:gridCol w:w="146"/>
        <w:gridCol w:w="427"/>
        <w:gridCol w:w="1118"/>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Convertible notes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As of June 30, 2026 and December 31, 2025, the fair value of the Company’s convertible notes was $192.8</w:t>
      </w:r>
      <w:r>
        <w:rPr>
          <w:rFonts w:ascii="Times New Roman" w:hAnsi="Times New Roman"/>
          <w:color w:val="000000"/>
          <w:sz w:val="20"/>
        </w:rPr>
        <w:t xml:space="preserve"> </w:t>
      </w:r>
      <w:r>
        <w:rPr>
          <w:rFonts w:ascii="Times New Roman" w:hAnsi="Times New Roman"/>
          <w:color w:val="000000"/>
          <w:sz w:val="18"/>
        </w:rPr>
        <w:t>million and $101.0</w:t>
      </w:r>
      <w:r>
        <w:rPr>
          <w:rFonts w:ascii="Times New Roman" w:hAnsi="Times New Roman"/>
          <w:color w:val="000000"/>
          <w:sz w:val="20"/>
        </w:rPr>
        <w:t xml:space="preserve"> </w:t>
      </w:r>
      <w:r>
        <w:rPr>
          <w:rFonts w:ascii="Times New Roman" w:hAnsi="Times New Roman"/>
          <w:color w:val="000000"/>
          <w:sz w:val="18"/>
        </w:rPr>
        <w:t>million, respectively. The Company measures the fair value of its convertible notes for disclosure purposes. The fair value was determined based on the Lattice model and has been classified as Level 3 in the fair value hierarchy. See Note 10 “Financing transactions” for information regarding the Company’s convertible notes. The key inputs into the Lattice model for the convertible notes were as follows:</w:t>
      </w:r>
    </w:p>
    <w:p>
      <w:pPr>
        <w:pStyle w:val="TextBody"/>
        <w:bidi w:val="0"/>
        <w:spacing w:before="40" w:after="283"/>
        <w:jc w:val="left"/>
        <w:rPr/>
      </w:pPr>
      <w:r>
        <w:rPr/>
        <w:t> </w:t>
      </w:r>
    </w:p>
    <w:tbl>
      <w:tblPr>
        <w:tblW w:w="5215" w:type="dxa"/>
        <w:jc w:val="left"/>
        <w:tblInd w:w="0" w:type="dxa"/>
        <w:tblLayout w:type="fixed"/>
        <w:tblCellMar>
          <w:top w:w="28" w:type="dxa"/>
          <w:left w:w="28" w:type="dxa"/>
          <w:bottom w:w="28" w:type="dxa"/>
          <w:right w:w="28" w:type="dxa"/>
        </w:tblCellMar>
      </w:tblPr>
      <w:tblGrid>
        <w:gridCol w:w="1666"/>
        <w:gridCol w:w="146"/>
        <w:gridCol w:w="320"/>
        <w:gridCol w:w="835"/>
        <w:gridCol w:w="256"/>
        <w:gridCol w:w="146"/>
        <w:gridCol w:w="427"/>
        <w:gridCol w:w="1118"/>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18"/>
        </w:rPr>
        <w:t>Note 4. Acquisition of Intangible Assets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As of June 30, 2026, expected amortization expense relating to purchased intangible assets was as follows (in thousands):</w:t>
      </w:r>
    </w:p>
    <w:p>
      <w:pPr>
        <w:pStyle w:val="TextBody"/>
        <w:bidi w:val="0"/>
        <w:spacing w:before="40" w:after="283"/>
        <w:jc w:val="left"/>
        <w:rPr/>
      </w:pPr>
      <w:r>
        <w:rPr/>
        <w:t> </w:t>
      </w:r>
    </w:p>
    <w:tbl>
      <w:tblPr>
        <w:tblW w:w="2770" w:type="dxa"/>
        <w:jc w:val="left"/>
        <w:tblInd w:w="0" w:type="dxa"/>
        <w:tblLayout w:type="fixed"/>
        <w:tblCellMar>
          <w:top w:w="28" w:type="dxa"/>
          <w:left w:w="28" w:type="dxa"/>
          <w:bottom w:w="28" w:type="dxa"/>
          <w:right w:w="28" w:type="dxa"/>
        </w:tblCellMar>
      </w:tblPr>
      <w:tblGrid>
        <w:gridCol w:w="1861"/>
        <w:gridCol w:w="146"/>
        <w:gridCol w:w="196"/>
        <w:gridCol w:w="37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future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18"/>
        </w:rPr>
        <w:t>The Company recorded amortization expense related to the acquired intangible assets of $0.3</w:t>
      </w:r>
      <w:r>
        <w:rPr>
          <w:rFonts w:ascii="Times New Roman" w:hAnsi="Times New Roman"/>
          <w:color w:val="000000"/>
          <w:sz w:val="20"/>
        </w:rPr>
        <w:t xml:space="preserve"> </w:t>
      </w:r>
      <w:r>
        <w:rPr>
          <w:rFonts w:ascii="Times New Roman" w:hAnsi="Times New Roman"/>
          <w:color w:val="000000"/>
          <w:sz w:val="18"/>
        </w:rPr>
        <w:t>million and $0.3</w:t>
      </w:r>
      <w:r>
        <w:rPr>
          <w:rFonts w:ascii="Times New Roman" w:hAnsi="Times New Roman"/>
          <w:color w:val="000000"/>
          <w:sz w:val="20"/>
        </w:rPr>
        <w:t xml:space="preserve"> </w:t>
      </w:r>
      <w:r>
        <w:rPr>
          <w:rFonts w:ascii="Times New Roman" w:hAnsi="Times New Roman"/>
          <w:color w:val="000000"/>
          <w:sz w:val="18"/>
        </w:rPr>
        <w:t>million each for the three months ended June 30, 2026 and June 30, 2025, respectively, and $0.5</w:t>
      </w:r>
      <w:r>
        <w:rPr>
          <w:rFonts w:ascii="Times New Roman" w:hAnsi="Times New Roman"/>
          <w:color w:val="000000"/>
          <w:sz w:val="20"/>
        </w:rPr>
        <w:t xml:space="preserve"> </w:t>
      </w:r>
      <w:r>
        <w:rPr>
          <w:rFonts w:ascii="Times New Roman" w:hAnsi="Times New Roman"/>
          <w:color w:val="000000"/>
          <w:sz w:val="18"/>
        </w:rPr>
        <w:t>million each for the six months ended June 30, 2026, and June 30, 2025, respectively.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Note 5. Inventories</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Inventories consisted of the following (in thousands):</w:t>
      </w:r>
    </w:p>
    <w:p>
      <w:pPr>
        <w:pStyle w:val="TextBody"/>
        <w:bidi w:val="0"/>
        <w:jc w:val="left"/>
        <w:rPr/>
      </w:pPr>
      <w:r>
        <w:rPr/>
        <w:t> </w:t>
      </w:r>
    </w:p>
    <w:tbl>
      <w:tblPr>
        <w:tblW w:w="4225" w:type="dxa"/>
        <w:jc w:val="left"/>
        <w:tblInd w:w="0" w:type="dxa"/>
        <w:tblLayout w:type="fixed"/>
        <w:tblCellMar>
          <w:top w:w="28" w:type="dxa"/>
          <w:left w:w="28" w:type="dxa"/>
          <w:bottom w:w="28" w:type="dxa"/>
          <w:right w:w="28" w:type="dxa"/>
        </w:tblCellMar>
      </w:tblPr>
      <w:tblGrid>
        <w:gridCol w:w="1506"/>
        <w:gridCol w:w="146"/>
        <w:gridCol w:w="208"/>
        <w:gridCol w:w="542"/>
        <w:gridCol w:w="146"/>
        <w:gridCol w:w="146"/>
        <w:gridCol w:w="315"/>
        <w:gridCol w:w="825"/>
        <w:gridCol w:w="391"/>
      </w:tblGrid>
      <w:tr>
        <w:trPr/>
        <w:tc>
          <w:tcPr>
            <w:tcW w:w="1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Note 6. Property, Plant and Equipment</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Property, plant and equipment consisted of the following (in thousands):</w:t>
      </w:r>
    </w:p>
    <w:p>
      <w:pPr>
        <w:pStyle w:val="TextBody"/>
        <w:bidi w:val="0"/>
        <w:jc w:val="left"/>
        <w:rPr/>
      </w:pPr>
      <w:r>
        <w:rPr/>
        <w:t> </w:t>
      </w:r>
    </w:p>
    <w:tbl>
      <w:tblPr>
        <w:tblW w:w="6007" w:type="dxa"/>
        <w:jc w:val="left"/>
        <w:tblInd w:w="0" w:type="dxa"/>
        <w:tblLayout w:type="fixed"/>
        <w:tblCellMar>
          <w:top w:w="28" w:type="dxa"/>
          <w:left w:w="28" w:type="dxa"/>
          <w:bottom w:w="28" w:type="dxa"/>
          <w:right w:w="28" w:type="dxa"/>
        </w:tblCellMar>
      </w:tblPr>
      <w:tblGrid>
        <w:gridCol w:w="3141"/>
        <w:gridCol w:w="146"/>
        <w:gridCol w:w="196"/>
        <w:gridCol w:w="661"/>
        <w:gridCol w:w="166"/>
        <w:gridCol w:w="146"/>
        <w:gridCol w:w="260"/>
        <w:gridCol w:w="880"/>
        <w:gridCol w:w="41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Testing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fixtures and other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Depreciation related to property, plant, and equipment was $1.0</w:t>
      </w:r>
      <w:r>
        <w:rPr>
          <w:rFonts w:ascii="Times New Roman" w:hAnsi="Times New Roman"/>
          <w:color w:val="000000"/>
          <w:sz w:val="20"/>
        </w:rPr>
        <w:t xml:space="preserve"> </w:t>
      </w:r>
      <w:r>
        <w:rPr>
          <w:rFonts w:ascii="Times New Roman" w:hAnsi="Times New Roman"/>
          <w:color w:val="000000"/>
          <w:sz w:val="18"/>
        </w:rPr>
        <w:t>million and $1.1</w:t>
      </w:r>
      <w:r>
        <w:rPr>
          <w:rFonts w:ascii="Times New Roman" w:hAnsi="Times New Roman"/>
          <w:color w:val="000000"/>
          <w:sz w:val="20"/>
        </w:rPr>
        <w:t xml:space="preserve"> </w:t>
      </w:r>
      <w:r>
        <w:rPr>
          <w:rFonts w:ascii="Times New Roman" w:hAnsi="Times New Roman"/>
          <w:color w:val="000000"/>
          <w:sz w:val="18"/>
        </w:rPr>
        <w:t>million for the three months ended June 30, 2026 and 2025, respectively and $2.1</w:t>
      </w:r>
      <w:r>
        <w:rPr>
          <w:rFonts w:ascii="Times New Roman" w:hAnsi="Times New Roman"/>
          <w:color w:val="000000"/>
          <w:sz w:val="20"/>
        </w:rPr>
        <w:t xml:space="preserve"> </w:t>
      </w:r>
      <w:r>
        <w:rPr>
          <w:rFonts w:ascii="Times New Roman" w:hAnsi="Times New Roman"/>
          <w:color w:val="000000"/>
          <w:sz w:val="18"/>
        </w:rPr>
        <w:t>million and $2.3</w:t>
      </w:r>
      <w:r>
        <w:rPr>
          <w:rFonts w:ascii="Times New Roman" w:hAnsi="Times New Roman"/>
          <w:color w:val="000000"/>
          <w:sz w:val="20"/>
        </w:rPr>
        <w:t xml:space="preserve"> </w:t>
      </w:r>
      <w:r>
        <w:rPr>
          <w:rFonts w:ascii="Times New Roman" w:hAnsi="Times New Roman"/>
          <w:color w:val="000000"/>
          <w:sz w:val="18"/>
        </w:rPr>
        <w:t>million for the six months ended June 30, 2026 and 2025, respectively</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Note 7. Other current assets</w:t>
      </w:r>
    </w:p>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Other current assets consisted of the following (in thousands):</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2926"/>
        <w:gridCol w:w="146"/>
        <w:gridCol w:w="196"/>
        <w:gridCol w:w="601"/>
        <w:gridCol w:w="146"/>
        <w:gridCol w:w="146"/>
        <w:gridCol w:w="280"/>
        <w:gridCol w:w="860"/>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Joint development agreement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Vendor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8. Other non-current assets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Other</w:t>
      </w:r>
      <w:r>
        <w:rPr>
          <w:rFonts w:ascii="Times New Roman" w:hAnsi="Times New Roman"/>
          <w:color w:val="000000"/>
          <w:sz w:val="20"/>
        </w:rPr>
        <w:t xml:space="preserve"> </w:t>
      </w:r>
      <w:r>
        <w:rPr>
          <w:rFonts w:ascii="Times New Roman" w:hAnsi="Times New Roman"/>
          <w:color w:val="000000"/>
          <w:sz w:val="18"/>
        </w:rPr>
        <w:t>non-current assets consist of the following (in thousands):</w:t>
      </w:r>
      <w:r>
        <w:rPr>
          <w:rFonts w:ascii="Times New Roman" w:hAnsi="Times New Roman"/>
          <w:color w:val="000000"/>
          <w:sz w:val="20"/>
        </w:rPr>
        <w:t xml:space="preserve"> </w:t>
      </w:r>
    </w:p>
    <w:p>
      <w:pPr>
        <w:pStyle w:val="TextBody"/>
        <w:bidi w:val="0"/>
        <w:spacing w:before="40" w:after="283"/>
        <w:jc w:val="left"/>
        <w:rPr/>
      </w:pPr>
      <w:r>
        <w:rPr/>
        <w:t> </w:t>
      </w:r>
    </w:p>
    <w:tbl>
      <w:tblPr>
        <w:tblW w:w="5645" w:type="dxa"/>
        <w:jc w:val="left"/>
        <w:tblInd w:w="0" w:type="dxa"/>
        <w:tblLayout w:type="fixed"/>
        <w:tblCellMar>
          <w:top w:w="28" w:type="dxa"/>
          <w:left w:w="28" w:type="dxa"/>
          <w:bottom w:w="28" w:type="dxa"/>
          <w:right w:w="28" w:type="dxa"/>
        </w:tblCellMar>
      </w:tblPr>
      <w:tblGrid>
        <w:gridCol w:w="2926"/>
        <w:gridCol w:w="146"/>
        <w:gridCol w:w="208"/>
        <w:gridCol w:w="542"/>
        <w:gridCol w:w="146"/>
        <w:gridCol w:w="146"/>
        <w:gridCol w:w="315"/>
        <w:gridCol w:w="825"/>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 marketable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Security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Joint development agreement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In November 2023, the Company made an investment in 700,440</w:t>
      </w:r>
      <w:r>
        <w:rPr>
          <w:rFonts w:ascii="Times New Roman" w:hAnsi="Times New Roman"/>
          <w:color w:val="000000"/>
          <w:sz w:val="20"/>
        </w:rPr>
        <w:t xml:space="preserve"> </w:t>
      </w:r>
      <w:r>
        <w:rPr>
          <w:rFonts w:ascii="Times New Roman" w:hAnsi="Times New Roman"/>
          <w:color w:val="000000"/>
          <w:sz w:val="18"/>
        </w:rPr>
        <w:t>shares of preferred stock of a private company for a cash consideration of $5.0</w:t>
      </w:r>
      <w:r>
        <w:rPr>
          <w:rFonts w:ascii="Times New Roman" w:hAnsi="Times New Roman"/>
          <w:color w:val="000000"/>
          <w:sz w:val="20"/>
        </w:rPr>
        <w:t xml:space="preserve"> </w:t>
      </w:r>
      <w:r>
        <w:rPr>
          <w:rFonts w:ascii="Times New Roman" w:hAnsi="Times New Roman"/>
          <w:color w:val="000000"/>
          <w:sz w:val="18"/>
        </w:rPr>
        <w:t>million, which is classified as non-marketable equity investment. The Company’s investment in the private company represents less than 1% of total capitalization. The Company neither has significant influence over the private company nor does the investment amount to a controlling financial interest in the private company. The Company elected to apply the measurement alternative, and as such, records the investment at cost minus impairment, if any, plus or minus changes resulting from qualifying observable price changes in orderly transactions. During the period ended June 30, 2026, the Company did not identify any impairment or significant observable price changes for this non-marketable equity investment.</w:t>
      </w:r>
    </w:p>
    <w:p>
      <w:pPr>
        <w:pStyle w:val="TextBody"/>
        <w:bidi w:val="0"/>
        <w:jc w:val="left"/>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Note 9. Other current liabilities</w:t>
      </w:r>
    </w:p>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Other current liabilities consisted of the following (in thousands):</w:t>
      </w:r>
    </w:p>
    <w:p>
      <w:pPr>
        <w:pStyle w:val="TextBody"/>
        <w:bidi w:val="0"/>
        <w:jc w:val="left"/>
        <w:rPr/>
      </w:pPr>
      <w:r>
        <w:rPr/>
        <w:t> </w:t>
      </w:r>
    </w:p>
    <w:tbl>
      <w:tblPr>
        <w:tblW w:w="5020" w:type="dxa"/>
        <w:jc w:val="left"/>
        <w:tblInd w:w="0" w:type="dxa"/>
        <w:tblLayout w:type="fixed"/>
        <w:tblCellMar>
          <w:top w:w="28" w:type="dxa"/>
          <w:left w:w="28" w:type="dxa"/>
          <w:bottom w:w="28" w:type="dxa"/>
          <w:right w:w="28" w:type="dxa"/>
        </w:tblCellMar>
      </w:tblPr>
      <w:tblGrid>
        <w:gridCol w:w="2301"/>
        <w:gridCol w:w="146"/>
        <w:gridCol w:w="208"/>
        <w:gridCol w:w="542"/>
        <w:gridCol w:w="146"/>
        <w:gridCol w:w="146"/>
        <w:gridCol w:w="315"/>
        <w:gridCol w:w="825"/>
        <w:gridCol w:w="391"/>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Note 10. Financing transactions</w:t>
      </w:r>
    </w:p>
    <w:p>
      <w:pPr>
        <w:pStyle w:val="TextBody"/>
        <w:bidi w:val="0"/>
        <w:jc w:val="left"/>
        <w:rPr/>
      </w:pPr>
      <w:r>
        <w:rPr/>
        <w:t> </w:t>
      </w:r>
    </w:p>
    <w:p>
      <w:pPr>
        <w:pStyle w:val="TextBody"/>
        <w:bidi w:val="0"/>
        <w:jc w:val="both"/>
        <w:rPr>
          <w:rFonts w:ascii="Times New Roman" w:hAnsi="Times New Roman"/>
          <w:b/>
          <w:i/>
          <w:color w:val="000000"/>
          <w:sz w:val="18"/>
        </w:rPr>
      </w:pPr>
      <w:r>
        <w:rPr>
          <w:rFonts w:ascii="Times New Roman" w:hAnsi="Times New Roman"/>
          <w:b/>
          <w:i/>
          <w:color w:val="000000"/>
          <w:sz w:val="18"/>
        </w:rPr>
        <w:t>Private Investment - Sylebra</w:t>
      </w:r>
    </w:p>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On November 8, 2023, the Company entered into Subscription Agreements (the “Sylebra Subscription Agreements”) with entities affiliated with Sylebra Capital Limited (“Sylebra”) and Adage Capital Management, providing for the purchase of an aggregate of 7,360,460</w:t>
      </w:r>
      <w:r>
        <w:rPr>
          <w:rFonts w:ascii="Times New Roman" w:hAnsi="Times New Roman"/>
          <w:color w:val="000000"/>
          <w:sz w:val="20"/>
        </w:rPr>
        <w:t xml:space="preserve"> </w:t>
      </w:r>
      <w:r>
        <w:rPr>
          <w:rFonts w:ascii="Times New Roman" w:hAnsi="Times New Roman"/>
          <w:color w:val="000000"/>
          <w:sz w:val="18"/>
        </w:rPr>
        <w:t>shares of the Company’s common stock, $0.0001</w:t>
      </w:r>
      <w:r>
        <w:rPr>
          <w:rFonts w:ascii="Times New Roman" w:hAnsi="Times New Roman"/>
          <w:color w:val="000000"/>
          <w:sz w:val="20"/>
        </w:rPr>
        <w:t xml:space="preserve"> </w:t>
      </w:r>
      <w:r>
        <w:rPr>
          <w:rFonts w:ascii="Times New Roman" w:hAnsi="Times New Roman"/>
          <w:color w:val="000000"/>
          <w:sz w:val="18"/>
        </w:rPr>
        <w:t>par value per share (the “PIPE Shares”), at a price of $2.90</w:t>
      </w:r>
      <w:r>
        <w:rPr>
          <w:rFonts w:ascii="Times New Roman" w:hAnsi="Times New Roman"/>
          <w:color w:val="000000"/>
          <w:sz w:val="20"/>
        </w:rPr>
        <w:t xml:space="preserve"> </w:t>
      </w:r>
      <w:r>
        <w:rPr>
          <w:rFonts w:ascii="Times New Roman" w:hAnsi="Times New Roman"/>
          <w:color w:val="000000"/>
          <w:sz w:val="18"/>
        </w:rPr>
        <w:t>per PIPE Share for an aggregate purchase price of approximately $21.4</w:t>
      </w:r>
      <w:r>
        <w:rPr>
          <w:rFonts w:ascii="Times New Roman" w:hAnsi="Times New Roman"/>
          <w:color w:val="000000"/>
          <w:sz w:val="20"/>
        </w:rPr>
        <w:t xml:space="preserve"> </w:t>
      </w:r>
      <w:r>
        <w:rPr>
          <w:rFonts w:ascii="Times New Roman" w:hAnsi="Times New Roman"/>
          <w:color w:val="000000"/>
          <w:sz w:val="18"/>
        </w:rPr>
        <w:t>million (the “Private Placement”). The PIPE Shares are recorded as outstanding common stock.</w:t>
      </w:r>
    </w:p>
    <w:p>
      <w:pPr>
        <w:pStyle w:val="TextBody"/>
        <w:bidi w:val="0"/>
        <w:jc w:val="both"/>
        <w:rPr>
          <w:rFonts w:ascii="Times New Roman" w:hAnsi="Times New Roman"/>
          <w:b/>
          <w:i/>
          <w:color w:val="000000"/>
          <w:sz w:val="18"/>
        </w:rPr>
      </w:pPr>
      <w:r>
        <w:rPr>
          <w:rFonts w:ascii="Times New Roman" w:hAnsi="Times New Roman"/>
          <w:b/>
          <w:i/>
          <w:color w:val="000000"/>
          <w:sz w:val="18"/>
        </w:rPr>
        <w:t>Standby Equity Purchase Agreement - Sylebra</w:t>
      </w:r>
    </w:p>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On November 8, 2023, the Company also entered into a Standby Equity Purchase Agreement (as amended from time to time, the “Facility Agreement”) with entities affiliated with Sylebra, pursuant to which the Company will have the right, but not the obligation to sell to Sylebra up to $125</w:t>
      </w:r>
      <w:r>
        <w:rPr>
          <w:rFonts w:ascii="Times New Roman" w:hAnsi="Times New Roman"/>
          <w:color w:val="000000"/>
          <w:sz w:val="20"/>
        </w:rPr>
        <w:t xml:space="preserve"> </w:t>
      </w:r>
      <w:r>
        <w:rPr>
          <w:rFonts w:ascii="Times New Roman" w:hAnsi="Times New Roman"/>
          <w:color w:val="000000"/>
          <w:sz w:val="18"/>
        </w:rPr>
        <w:t>million of its shares of convertible redeemable non-voting preferred stock, subject to satisfaction of certain conditions, by November 8, 2026. Each sale the Company requests under the Facility Agreement (each, an “Advance” and collectively, the “Advances”) may be for a number of shares of preferred stock with an aggregate value of at least $25.0</w:t>
      </w:r>
      <w:r>
        <w:rPr>
          <w:rFonts w:ascii="Times New Roman" w:hAnsi="Times New Roman"/>
          <w:color w:val="000000"/>
          <w:sz w:val="20"/>
        </w:rPr>
        <w:t xml:space="preserve"> </w:t>
      </w:r>
      <w:r>
        <w:rPr>
          <w:rFonts w:ascii="Times New Roman" w:hAnsi="Times New Roman"/>
          <w:color w:val="000000"/>
          <w:sz w:val="18"/>
        </w:rPr>
        <w:t>million but not more than $50.0</w:t>
      </w:r>
      <w:r>
        <w:rPr>
          <w:rFonts w:ascii="Times New Roman" w:hAnsi="Times New Roman"/>
          <w:color w:val="000000"/>
          <w:sz w:val="20"/>
        </w:rPr>
        <w:t xml:space="preserve"> </w:t>
      </w:r>
      <w:r>
        <w:rPr>
          <w:rFonts w:ascii="Times New Roman" w:hAnsi="Times New Roman"/>
          <w:color w:val="000000"/>
          <w:sz w:val="18"/>
        </w:rPr>
        <w:t>million (except with Sylebra’s consent).</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When and if issued, the preferred stock will be issued at a price per share of $10,000. Holders of the preferred stock will be entitled to a quarterly dividend at the rate of 7.0% per annum payable in cash or in kind at the option of the Company. The preferred stock will have an initial liquidation preference of $12,000</w:t>
      </w:r>
      <w:r>
        <w:rPr>
          <w:rFonts w:ascii="Times New Roman" w:hAnsi="Times New Roman"/>
          <w:color w:val="000000"/>
          <w:sz w:val="20"/>
        </w:rPr>
        <w:t xml:space="preserve"> </w:t>
      </w:r>
      <w:r>
        <w:rPr>
          <w:rFonts w:ascii="Times New Roman" w:hAnsi="Times New Roman"/>
          <w:color w:val="000000"/>
          <w:sz w:val="18"/>
        </w:rPr>
        <w:t>per share, plus accrued dividends. The preferred stock will have no voting rights as a class or series except in such instances as required by Delaware law or certain matters enumerated in the Facility Agreement related to the protection of the preferred stock.</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The preferred stock will be convertible at the option of the holders into the number of shares of common stock equal to $10,000</w:t>
      </w:r>
      <w:r>
        <w:rPr>
          <w:rFonts w:ascii="Times New Roman" w:hAnsi="Times New Roman"/>
          <w:color w:val="000000"/>
          <w:sz w:val="20"/>
        </w:rPr>
        <w:t xml:space="preserve"> </w:t>
      </w:r>
      <w:r>
        <w:rPr>
          <w:rFonts w:ascii="Times New Roman" w:hAnsi="Times New Roman"/>
          <w:color w:val="000000"/>
          <w:sz w:val="18"/>
        </w:rPr>
        <w:t>divided by the then-applicable conversion price. At any time after the two year anniversary of any issuance of any series of preferred stock, the Company will have the option to convert all (but not less than all) of any series of then-outstanding preferred stock by paying a make-whole payment, in either stock or cash, equal to three years of dividends, provided that the closing price of the common stock exceeds 250% of the then-applicable conversion price for at least 20</w:t>
      </w:r>
      <w:r>
        <w:rPr>
          <w:rFonts w:ascii="Times New Roman" w:hAnsi="Times New Roman"/>
          <w:color w:val="000000"/>
          <w:sz w:val="20"/>
        </w:rPr>
        <w:t xml:space="preserve"> </w:t>
      </w:r>
      <w:r>
        <w:rPr>
          <w:rFonts w:ascii="Times New Roman" w:hAnsi="Times New Roman"/>
          <w:color w:val="000000"/>
          <w:sz w:val="18"/>
        </w:rPr>
        <w:t>out of 30</w:t>
      </w:r>
      <w:r>
        <w:rPr>
          <w:rFonts w:ascii="Times New Roman" w:hAnsi="Times New Roman"/>
          <w:color w:val="000000"/>
          <w:sz w:val="20"/>
        </w:rPr>
        <w:t xml:space="preserve"> </w:t>
      </w:r>
      <w:r>
        <w:rPr>
          <w:rFonts w:ascii="Times New Roman" w:hAnsi="Times New Roman"/>
          <w:color w:val="000000"/>
          <w:sz w:val="18"/>
        </w:rPr>
        <w:t>consecutive trading days prior to the date of conversion. To the extent, if any, a conversion would result in the holder thereof becoming the beneficial owner of more than 16,428,553</w:t>
      </w:r>
      <w:r>
        <w:rPr>
          <w:rFonts w:ascii="Times New Roman" w:hAnsi="Times New Roman"/>
          <w:color w:val="000000"/>
          <w:sz w:val="20"/>
        </w:rPr>
        <w:t xml:space="preserve"> </w:t>
      </w:r>
      <w:r>
        <w:rPr>
          <w:rFonts w:ascii="Times New Roman" w:hAnsi="Times New Roman"/>
          <w:color w:val="000000"/>
          <w:sz w:val="18"/>
        </w:rPr>
        <w:t>shares of the Company’s outstanding common stock, the Company will issue to such holder a pre-funded warrant in the form attached to the Facility Agreement. The preferred stock will be subject to customary pre-emptive rights.</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The Company’s right to request Advances is conditioned upon the Company achieving a minimum of one new passenger auto-original equipment manufacturer (“OEM”) or commercial OEM program award with at least a 50,000 unit volume, the trading price of the common stock being below $38.00</w:t>
      </w:r>
      <w:r>
        <w:rPr>
          <w:rFonts w:ascii="Times New Roman" w:hAnsi="Times New Roman"/>
          <w:color w:val="000000"/>
          <w:sz w:val="20"/>
        </w:rPr>
        <w:t xml:space="preserve"> </w:t>
      </w:r>
      <w:r>
        <w:rPr>
          <w:rFonts w:ascii="Times New Roman" w:hAnsi="Times New Roman"/>
          <w:color w:val="000000"/>
          <w:sz w:val="18"/>
        </w:rPr>
        <w:t>at the time of the Advance request and other customary conditions. As of June 30, 2026, all conditions to request an Advance under the Facility Agreement were met.</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Any preferred stock issued in connection with the Facility Agreement will rank senior to common stock upon the Company’s liquidation, dissolution or winding up. Any such preferred stock will be entitled to priority cumulative dividends which shall accrue daily from and after the original issue date of such preferred stock and shall compound on a quarterly basis on each dividend payment date. The accrued dividends shall in all cases be payable upon liquidation.</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The Company shall pay dividends on each share of preferred stock in cash or in kind through issuance of shares of common stock with an aggregate value equal to the amount of the dividend to have been paid divided by the dividend conversion price. The board of directors of the Company may at its sole discretion elect to pay the dividends in cash in lieu of shares of common stock. The preferred stock has no voting rights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unless it is converted into shares of common stock. Additionally, upon the occurrence of a change of control, the holders of preferred stock shall be entitled to receive in full a liquidating purchase in cash and in the amount per share of the preferred stock equal to the sum of (i) the liquidation preference plus (ii) accrued dividends with respect to such shares of preferred stock.</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In connection with this financing, the Company also paid the entities affiliated with Sylebra, (a) a facility fee in the amount of $2.5</w:t>
      </w:r>
      <w:r>
        <w:rPr>
          <w:rFonts w:ascii="Times New Roman" w:hAnsi="Times New Roman"/>
          <w:color w:val="000000"/>
          <w:sz w:val="20"/>
        </w:rPr>
        <w:t xml:space="preserve"> </w:t>
      </w:r>
      <w:r>
        <w:rPr>
          <w:rFonts w:ascii="Times New Roman" w:hAnsi="Times New Roman"/>
          <w:color w:val="000000"/>
          <w:sz w:val="18"/>
        </w:rPr>
        <w:t>million, (b) an origination fee in the amount of $0.6</w:t>
      </w:r>
      <w:r>
        <w:rPr>
          <w:rFonts w:ascii="Times New Roman" w:hAnsi="Times New Roman"/>
          <w:color w:val="000000"/>
          <w:sz w:val="20"/>
        </w:rPr>
        <w:t xml:space="preserve"> </w:t>
      </w:r>
      <w:r>
        <w:rPr>
          <w:rFonts w:ascii="Times New Roman" w:hAnsi="Times New Roman"/>
          <w:color w:val="000000"/>
          <w:sz w:val="18"/>
        </w:rPr>
        <w:t>million, (c) an administrative fee in the amount of $0.3</w:t>
      </w:r>
      <w:r>
        <w:rPr>
          <w:rFonts w:ascii="Times New Roman" w:hAnsi="Times New Roman"/>
          <w:color w:val="000000"/>
          <w:sz w:val="20"/>
        </w:rPr>
        <w:t xml:space="preserve"> </w:t>
      </w:r>
      <w:r>
        <w:rPr>
          <w:rFonts w:ascii="Times New Roman" w:hAnsi="Times New Roman"/>
          <w:color w:val="000000"/>
          <w:sz w:val="18"/>
        </w:rPr>
        <w:t>million and (d) fees and expenses of Sylebra and its counsel, of approximately $0.4</w:t>
      </w:r>
      <w:r>
        <w:rPr>
          <w:rFonts w:ascii="Times New Roman" w:hAnsi="Times New Roman"/>
          <w:color w:val="000000"/>
          <w:sz w:val="20"/>
        </w:rPr>
        <w:t xml:space="preserve"> </w:t>
      </w:r>
      <w:r>
        <w:rPr>
          <w:rFonts w:ascii="Times New Roman" w:hAnsi="Times New Roman"/>
          <w:color w:val="000000"/>
          <w:sz w:val="18"/>
        </w:rPr>
        <w:t>million. The issuance costs related to the Facility Agreement were expensed as incurred as it failed to meet the equity classification guidance under ASC 815-40, and were deemed to be a derivative asset. The fair value of the derivative asset was not material as of and for the period ended June 30, 2026.</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In addition, upon receipt of stockholder approval in December 2023, the Company issued to Sylebra 3,000,000</w:t>
      </w:r>
      <w:r>
        <w:rPr>
          <w:rFonts w:ascii="Times New Roman" w:hAnsi="Times New Roman"/>
          <w:color w:val="000000"/>
          <w:sz w:val="20"/>
        </w:rPr>
        <w:t xml:space="preserve"> </w:t>
      </w:r>
      <w:r>
        <w:rPr>
          <w:rFonts w:ascii="Times New Roman" w:hAnsi="Times New Roman"/>
          <w:color w:val="000000"/>
          <w:sz w:val="18"/>
        </w:rPr>
        <w:t>Series A Warrants to purchase shares of common stock at an exercise price of $5.00. The Company analyzed the Series A Warrants and determined that they are freestanding and do not exhibit any of the characteristics within ASC 480, and as such do not meet the characteristics of a liability under ASC 480. However, Series A Warrants do not meet all requirements for equity classification under ASC 815, and therefore are classified as a liability on the Company’s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As of June 30, 2026, the Company had 3,000,000</w:t>
      </w:r>
      <w:r>
        <w:rPr>
          <w:rFonts w:ascii="Times New Roman" w:hAnsi="Times New Roman"/>
          <w:color w:val="000000"/>
          <w:sz w:val="20"/>
        </w:rPr>
        <w:t xml:space="preserve"> </w:t>
      </w:r>
      <w:r>
        <w:rPr>
          <w:rFonts w:ascii="Times New Roman" w:hAnsi="Times New Roman"/>
          <w:color w:val="000000"/>
          <w:sz w:val="18"/>
        </w:rPr>
        <w:t>Series A Warrants outstanding. The Series A Warrants were issued as consideration for entering into the Facility Agreement as discussed above. Each Series A Warrant is currently exercisable and expires in December 2027. Holders shall not have the right to exercise the Series A Warrants to the extent such person would beneficially own in excess of 16,428,553</w:t>
      </w:r>
      <w:r>
        <w:rPr>
          <w:rFonts w:ascii="Times New Roman" w:hAnsi="Times New Roman"/>
          <w:color w:val="000000"/>
          <w:sz w:val="20"/>
        </w:rPr>
        <w:t xml:space="preserve"> </w:t>
      </w:r>
      <w:r>
        <w:rPr>
          <w:rFonts w:ascii="Times New Roman" w:hAnsi="Times New Roman"/>
          <w:color w:val="000000"/>
          <w:sz w:val="18"/>
        </w:rPr>
        <w:t>shares of the Company’s outstanding common stock as adjusted immediately after giving effect to such exercise.</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The exercise price and number of shares of common stock issuable upon exercise of the Series A Warrants may be adjusted in certain circumstances including in the event of a stock dividend or split, subsequent rights offerings, pro rata purchases, merger, reorganization, recapitalization, or spin-off. However, the Series A Warrants will not be adjusted for issuances of shares of common stock at a price below their respective exercise prices. The Series A Warrants do not entitle the holders to any voting rights, dividends or other rights as a stockholder of the Company prior to being exercised for common stock.</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18"/>
        </w:rPr>
        <w:t>Share Subscription Agreement - LGIT</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On May 13, 2025, the Company entered into a strategic collaboration with LG Innotek Co., Ltd. (“LGIT”). In connection with this partnership, the parties entered into a LG Subscription Agreement, and a JDA, (collectively referred to as the “LGIT Transaction”).</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Pursuant to the LG Subscription Agreement, LGIT agreed to make a strategic investment in the Company of $32.5</w:t>
      </w:r>
      <w:r>
        <w:rPr>
          <w:rFonts w:ascii="Times New Roman" w:hAnsi="Times New Roman"/>
          <w:color w:val="000000"/>
          <w:sz w:val="20"/>
        </w:rPr>
        <w:t xml:space="preserve"> </w:t>
      </w:r>
      <w:r>
        <w:rPr>
          <w:rFonts w:ascii="Times New Roman" w:hAnsi="Times New Roman"/>
          <w:color w:val="000000"/>
          <w:sz w:val="18"/>
        </w:rPr>
        <w:t>million (the “LG Private Placement”) in exchange for common shares. LGIT agreed to pay a fixed price per share of $9.26</w:t>
      </w:r>
      <w:r>
        <w:rPr>
          <w:rFonts w:ascii="Times New Roman" w:hAnsi="Times New Roman"/>
          <w:color w:val="000000"/>
          <w:sz w:val="20"/>
        </w:rPr>
        <w:t xml:space="preserve"> </w:t>
      </w:r>
      <w:r>
        <w:rPr>
          <w:rFonts w:ascii="Times New Roman" w:hAnsi="Times New Roman"/>
          <w:color w:val="000000"/>
          <w:sz w:val="18"/>
        </w:rPr>
        <w:t>at closing (i.e., the “Long Forward”) or a price per share equal to the volume weighted average price (“VWAP”) if the VWAP for 10 days preceding the record date is less than $7.41</w:t>
      </w:r>
      <w:r>
        <w:rPr>
          <w:rFonts w:ascii="Times New Roman" w:hAnsi="Times New Roman"/>
          <w:color w:val="000000"/>
          <w:sz w:val="20"/>
        </w:rPr>
        <w:t xml:space="preserve"> </w:t>
      </w:r>
      <w:r>
        <w:rPr>
          <w:rFonts w:ascii="Times New Roman" w:hAnsi="Times New Roman"/>
          <w:color w:val="000000"/>
          <w:sz w:val="18"/>
        </w:rPr>
        <w:t>per share (the “Barrier Put Option”). Notwithstanding the foregoing, LGIT’s share ownership is subject to an ownership limit of 9.9% such that the price per share paid at closing would be adjusted to ensure the share ownership limit is not exceeded. The record date represents the earlier of two months following contract inception or satisfaction of all closing conditions.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The Long Forward and Barrier Put Option instrument required recognition as liability on the consolidated balance sheet because the instrument was determined not to be indexed to the Company’s common stock, as the total number of shares to be issued was not fixed. The Company recognized the instrument at fair value at contract inception and at each reporting date until settlement at closing of the LG Private Placement. The Company re-measured the fair value of the LG Private Placement as of the closing and accordingly recorded an associated gain of $1.7</w:t>
      </w:r>
      <w:r>
        <w:rPr>
          <w:rFonts w:ascii="Times New Roman" w:hAnsi="Times New Roman"/>
          <w:color w:val="000000"/>
          <w:sz w:val="20"/>
        </w:rPr>
        <w:t xml:space="preserve"> </w:t>
      </w:r>
      <w:r>
        <w:rPr>
          <w:rFonts w:ascii="Times New Roman" w:hAnsi="Times New Roman"/>
          <w:color w:val="000000"/>
          <w:sz w:val="18"/>
        </w:rPr>
        <w:t>million for the year ended December 31, 2025, upon issuance of its common stock.</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The LG Private Placement closed on August 20, 2025. Accordingly, the Company issued 3,509,719</w:t>
      </w:r>
      <w:r>
        <w:rPr>
          <w:rFonts w:ascii="Times New Roman" w:hAnsi="Times New Roman"/>
          <w:color w:val="000000"/>
          <w:sz w:val="20"/>
        </w:rPr>
        <w:t xml:space="preserve"> </w:t>
      </w:r>
      <w:r>
        <w:rPr>
          <w:rFonts w:ascii="Times New Roman" w:hAnsi="Times New Roman"/>
          <w:color w:val="000000"/>
          <w:sz w:val="18"/>
        </w:rPr>
        <w:t>shares of common stock to LGIT at a price of $9.26</w:t>
      </w:r>
      <w:r>
        <w:rPr>
          <w:rFonts w:ascii="Times New Roman" w:hAnsi="Times New Roman"/>
          <w:color w:val="000000"/>
          <w:sz w:val="20"/>
        </w:rPr>
        <w:t xml:space="preserve"> </w:t>
      </w:r>
      <w:r>
        <w:rPr>
          <w:rFonts w:ascii="Times New Roman" w:hAnsi="Times New Roman"/>
          <w:color w:val="000000"/>
          <w:sz w:val="18"/>
        </w:rPr>
        <w:t>per share upon receipt of gross proceeds of $32.5</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Pursuant to the JDA, the Company agreed to provide non-recurring engineering services to LGIT in exchange for a total consideration of $7.5</w:t>
      </w:r>
      <w:r>
        <w:rPr>
          <w:rFonts w:ascii="Times New Roman" w:hAnsi="Times New Roman"/>
          <w:color w:val="000000"/>
          <w:sz w:val="20"/>
        </w:rPr>
        <w:t xml:space="preserve"> </w:t>
      </w:r>
      <w:r>
        <w:rPr>
          <w:rFonts w:ascii="Times New Roman" w:hAnsi="Times New Roman"/>
          <w:color w:val="000000"/>
          <w:sz w:val="18"/>
        </w:rPr>
        <w:t>million. However, based on the contract analysis, JDA and LG Subscription Agreement were determined to be a combined contract in which all the proceeds were allocated to the LG Subscription Agreement and no proceeds were allocated to the JDA, accordingly no revenue shall be recognized for non-recurring engineering services to be provided under the JDA. See Note 1 to these condensed consolidated financial statements for details on provision for anticipated losses recognized on the JDA.</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18"/>
        </w:rPr>
        <w:t>Convertible Notes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In November 2025, the Company issued $100.0</w:t>
      </w:r>
      <w:r>
        <w:rPr>
          <w:rFonts w:ascii="Times New Roman" w:hAnsi="Times New Roman"/>
          <w:color w:val="000000"/>
          <w:sz w:val="20"/>
        </w:rPr>
        <w:t xml:space="preserve"> </w:t>
      </w:r>
      <w:r>
        <w:rPr>
          <w:rFonts w:ascii="Times New Roman" w:hAnsi="Times New Roman"/>
          <w:color w:val="000000"/>
          <w:sz w:val="18"/>
        </w:rPr>
        <w:t>million aggregate principal amount of 4.375% Convertible Senior Notes due 2032 (the “Convertible Notes”) in a private placement transaction. The proceeds from the issuance of the Convertible Notes, net of debt issuance costs, were $96.7</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40" w:after="160"/>
        <w:jc w:val="left"/>
        <w:rPr>
          <w:rFonts w:ascii="Times New Roman" w:hAnsi="Times New Roman"/>
          <w:color w:val="000000"/>
          <w:sz w:val="18"/>
        </w:rPr>
      </w:pPr>
      <w:r>
        <w:rPr>
          <w:rFonts w:ascii="Times New Roman" w:hAnsi="Times New Roman"/>
          <w:color w:val="000000"/>
          <w:sz w:val="18"/>
        </w:rPr>
        <w:t>The Convertible Notes are senior unsecured obligations of the Company and will mature on November 15, 2032, unless earlier converted, redeemed, or repurchased. The Convertible Notes are governed by an indenture dated November 6, 2025 (the “Indenture”). Interest on the Convertible Notes accrues at a rate of 4.375% per annum and is payable semiannually on May 15 and November 15. The Company pursuant to satisfaction of interests conditions may elect to pay interest on the Convertible Notes (i) by paying an amount in cash (“Cash Interest”) on such interest payment date equal to all interest accrued from, and including, the immediately preceding date on the principal amount (the “Interest Amount”) or (ii) by the issuance of a number of shares of the Company’s common stock equal to the Interest Amount based on the daily VWAP (as defined in the Indenture) for the eight trading days prior to the date two trading days prior to the relevant interest payment date (“Share Interest”) or (iii) any combination of Cash Interest and Share Interest. The effective interest rate of the Convertible Notes is 4.95%.</w:t>
      </w:r>
    </w:p>
    <w:p>
      <w:pPr>
        <w:pStyle w:val="TextBody"/>
        <w:bidi w:val="0"/>
        <w:spacing w:before="0" w:after="160"/>
        <w:jc w:val="left"/>
        <w:rPr>
          <w:rFonts w:ascii="Times New Roman" w:hAnsi="Times New Roman"/>
          <w:sz w:val="20"/>
        </w:rPr>
      </w:pPr>
      <w:r>
        <w:rPr>
          <w:rFonts w:ascii="Times New Roman" w:hAnsi="Times New Roman"/>
          <w:color w:val="000000"/>
          <w:sz w:val="18"/>
        </w:rPr>
        <w:t>The Convertible Notes are convertible at an initial conversion rate of 63.0348</w:t>
      </w:r>
      <w:r>
        <w:rPr>
          <w:rFonts w:ascii="Times New Roman" w:hAnsi="Times New Roman"/>
          <w:color w:val="000000"/>
          <w:sz w:val="20"/>
        </w:rPr>
        <w:t xml:space="preserve"> </w:t>
      </w:r>
      <w:r>
        <w:rPr>
          <w:rFonts w:ascii="Times New Roman" w:hAnsi="Times New Roman"/>
          <w:color w:val="000000"/>
          <w:sz w:val="18"/>
        </w:rPr>
        <w:t>shares of the Company’s common stock per $1,000</w:t>
      </w:r>
      <w:r>
        <w:rPr>
          <w:rFonts w:ascii="Times New Roman" w:hAnsi="Times New Roman"/>
          <w:color w:val="000000"/>
          <w:sz w:val="20"/>
        </w:rPr>
        <w:t xml:space="preserve"> </w:t>
      </w:r>
      <w:r>
        <w:rPr>
          <w:rFonts w:ascii="Times New Roman" w:hAnsi="Times New Roman"/>
          <w:color w:val="000000"/>
          <w:sz w:val="18"/>
        </w:rPr>
        <w:t>principal amount of the Convertible Notes, which is equivalent to an initial conversion price of approximately $15.8643</w:t>
      </w:r>
      <w:r>
        <w:rPr>
          <w:rFonts w:ascii="Times New Roman" w:hAnsi="Times New Roman"/>
          <w:color w:val="000000"/>
          <w:sz w:val="20"/>
        </w:rPr>
        <w:t xml:space="preserve"> </w:t>
      </w:r>
      <w:r>
        <w:rPr>
          <w:rFonts w:ascii="Times New Roman" w:hAnsi="Times New Roman"/>
          <w:color w:val="000000"/>
          <w:sz w:val="18"/>
        </w:rPr>
        <w:t>per share, subject to adjustment upon the occurrence of certain events as described in the Indenture. Holders may convert their Convertible Notes at any time prior to the close of business on the second scheduled trading day immediately preceding the maturity date. Upon conversion, the Company may pay or deliver cash, shares of the Company’s common stock, or a combination of cash and shares of the Company’s common stock, at its election.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18"/>
        </w:rPr>
        <w:t>The Company may redeem for cash all or any portion of the Convertible Notes, at its option, on or after November 20, 2028, if the last reported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notice of redemption. The redemption price will be equal to 100% of the principal amount of the notes to be redeemed, plus accrued and unpaid interest, if any, to, but excluding, the redemption date. The Company may redeem for cash all of the Notes, at a redemption price equal to the principal amount of the Notes to be redeemed, plus accrued and unpaid interest thereon, if at any time less than 10% of the aggregate principal amount of the Notes initially issued on the date of the Indenture remain outstanding.</w:t>
      </w:r>
      <w:r>
        <w:rPr>
          <w:rFonts w:ascii="Times New Roman" w:hAnsi="Times New Roman"/>
          <w:color w:val="000000"/>
          <w:sz w:val="20"/>
        </w:rPr>
        <w:t xml:space="preserve"> </w:t>
      </w:r>
      <w:r>
        <w:rPr>
          <w:rFonts w:ascii="Times New Roman" w:hAnsi="Times New Roman"/>
          <w:color w:val="000000"/>
          <w:sz w:val="18"/>
        </w:rPr>
        <w:t>The conversion rate on any Notes that are converted following a notice of redemption will be subject to a “make-whole” adjustment pursuant to the terms of the Indenture. No sinking fund is provided for the Convertible Notes.</w:t>
      </w:r>
    </w:p>
    <w:p>
      <w:pPr>
        <w:pStyle w:val="TextBody"/>
        <w:bidi w:val="0"/>
        <w:spacing w:before="0" w:after="160"/>
        <w:jc w:val="left"/>
        <w:rPr>
          <w:rFonts w:ascii="Times New Roman" w:hAnsi="Times New Roman"/>
          <w:sz w:val="20"/>
        </w:rPr>
      </w:pPr>
      <w:r>
        <w:rPr>
          <w:rFonts w:ascii="Times New Roman" w:hAnsi="Times New Roman"/>
          <w:color w:val="000000"/>
          <w:sz w:val="18"/>
        </w:rPr>
        <w:t>Subject to certain administrative conditions set forth in the Indenture, upon the occurrence of a Fundamental Change (as defined in the Indenture), each of the Holders shall have the right at such Holder’s option to require the Company to repurchase in cash all of such Holder’s Notes or any portion of the principal amount thereof which is equal to $1,000</w:t>
      </w:r>
      <w:r>
        <w:rPr>
          <w:rFonts w:ascii="Times New Roman" w:hAnsi="Times New Roman"/>
          <w:color w:val="000000"/>
          <w:sz w:val="20"/>
        </w:rPr>
        <w:t xml:space="preserve"> </w:t>
      </w:r>
      <w:r>
        <w:rPr>
          <w:rFonts w:ascii="Times New Roman" w:hAnsi="Times New Roman"/>
          <w:color w:val="000000"/>
          <w:sz w:val="18"/>
        </w:rPr>
        <w:t>or an integral multiple of $1,000</w:t>
      </w:r>
      <w:r>
        <w:rPr>
          <w:rFonts w:ascii="Times New Roman" w:hAnsi="Times New Roman"/>
          <w:color w:val="000000"/>
          <w:sz w:val="20"/>
        </w:rPr>
        <w:t xml:space="preserve"> </w:t>
      </w:r>
      <w:r>
        <w:rPr>
          <w:rFonts w:ascii="Times New Roman" w:hAnsi="Times New Roman"/>
          <w:color w:val="000000"/>
          <w:sz w:val="18"/>
        </w:rPr>
        <w:t>at a repurchase price equal to 100% of the principal amount thereof, plus accrued and unpaid interest thereon.</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The net carrying amount of the Convertible Notes was as follows (in thousands):</w:t>
      </w:r>
    </w:p>
    <w:tbl>
      <w:tblPr>
        <w:tblW w:w="6232" w:type="dxa"/>
        <w:jc w:val="left"/>
        <w:tblInd w:w="0" w:type="dxa"/>
        <w:tblLayout w:type="fixed"/>
        <w:tblCellMar>
          <w:top w:w="28" w:type="dxa"/>
          <w:left w:w="28" w:type="dxa"/>
          <w:bottom w:w="28" w:type="dxa"/>
          <w:right w:w="28" w:type="dxa"/>
        </w:tblCellMar>
      </w:tblPr>
      <w:tblGrid>
        <w:gridCol w:w="3376"/>
        <w:gridCol w:w="146"/>
        <w:gridCol w:w="196"/>
        <w:gridCol w:w="691"/>
        <w:gridCol w:w="146"/>
        <w:gridCol w:w="146"/>
        <w:gridCol w:w="252"/>
        <w:gridCol w:w="888"/>
        <w:gridCol w:w="3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Company made its first semiannual interest payment on the Convertible Notes on May 15, 2026, by issuing 149,037</w:t>
      </w:r>
      <w:r>
        <w:rPr>
          <w:rFonts w:ascii="Times New Roman" w:hAnsi="Times New Roman"/>
          <w:color w:val="000000"/>
          <w:sz w:val="20"/>
        </w:rPr>
        <w:t xml:space="preserve"> </w:t>
      </w:r>
      <w:r>
        <w:rPr>
          <w:rFonts w:ascii="Times New Roman" w:hAnsi="Times New Roman"/>
          <w:color w:val="000000"/>
          <w:sz w:val="18"/>
        </w:rPr>
        <w:t>shares of its common stock.</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Public offering</w:t>
      </w:r>
    </w:p>
    <w:p>
      <w:pPr>
        <w:pStyle w:val="TextBody"/>
        <w:bidi w:val="0"/>
        <w:jc w:val="left"/>
        <w:rPr/>
      </w:pPr>
      <w:r>
        <w:rPr/>
        <w:t> </w:t>
      </w:r>
    </w:p>
    <w:p>
      <w:pPr>
        <w:pStyle w:val="TextBody"/>
        <w:bidi w:val="0"/>
        <w:spacing w:before="40" w:after="160"/>
        <w:jc w:val="left"/>
        <w:rPr>
          <w:rFonts w:ascii="Times New Roman" w:hAnsi="Times New Roman"/>
          <w:sz w:val="20"/>
        </w:rPr>
      </w:pPr>
      <w:r>
        <w:rPr>
          <w:rFonts w:ascii="Times New Roman" w:hAnsi="Times New Roman"/>
          <w:color w:val="000000"/>
          <w:sz w:val="18"/>
        </w:rPr>
        <w:t>On June 3, 2026 we filed a registration statement on Form S-3ASR (File No. 333-296469) (the “Shelf Registration Statement”) and a related prospectus with the Securities and Exchange Commission. Pursuant to the Shelf Registration Statement we may offer, from time to time, common stock, preferred stock, debt securities and warrants. On June 4, 2026, we filed a prospectus and prospectus supplement with the Securities and Exchange Commission. The prospectus and prospectus supplement registered the offer and sale of up to 5,168,539</w:t>
      </w:r>
      <w:r>
        <w:rPr>
          <w:rFonts w:ascii="Times New Roman" w:hAnsi="Times New Roman"/>
          <w:color w:val="000000"/>
          <w:sz w:val="20"/>
        </w:rPr>
        <w:t xml:space="preserve"> </w:t>
      </w:r>
      <w:r>
        <w:rPr>
          <w:rFonts w:ascii="Times New Roman" w:hAnsi="Times New Roman"/>
          <w:color w:val="000000"/>
          <w:sz w:val="18"/>
        </w:rPr>
        <w:t>shares of our common stock, including the full exercise of the underwriters’ option to purchase an additional 674,157</w:t>
      </w:r>
      <w:r>
        <w:rPr>
          <w:rFonts w:ascii="Times New Roman" w:hAnsi="Times New Roman"/>
          <w:color w:val="000000"/>
          <w:sz w:val="20"/>
        </w:rPr>
        <w:t xml:space="preserve"> </w:t>
      </w:r>
      <w:r>
        <w:rPr>
          <w:rFonts w:ascii="Times New Roman" w:hAnsi="Times New Roman"/>
          <w:color w:val="000000"/>
          <w:sz w:val="18"/>
        </w:rPr>
        <w:t>shares of common stock, pursuant to the Shelf Registration Statement, at a public offering price of $22.25</w:t>
      </w:r>
      <w:r>
        <w:rPr>
          <w:rFonts w:ascii="Times New Roman" w:hAnsi="Times New Roman"/>
          <w:color w:val="000000"/>
          <w:sz w:val="20"/>
        </w:rPr>
        <w:t xml:space="preserve"> </w:t>
      </w:r>
      <w:r>
        <w:rPr>
          <w:rFonts w:ascii="Times New Roman" w:hAnsi="Times New Roman"/>
          <w:color w:val="000000"/>
          <w:sz w:val="18"/>
        </w:rPr>
        <w:t>per share. On June 5, 2026, we completed the sale of all 5,168,539</w:t>
      </w:r>
      <w:r>
        <w:rPr>
          <w:rFonts w:ascii="Times New Roman" w:hAnsi="Times New Roman"/>
          <w:color w:val="000000"/>
          <w:sz w:val="20"/>
        </w:rPr>
        <w:t xml:space="preserve"> </w:t>
      </w:r>
      <w:r>
        <w:rPr>
          <w:rFonts w:ascii="Times New Roman" w:hAnsi="Times New Roman"/>
          <w:color w:val="000000"/>
          <w:sz w:val="18"/>
        </w:rPr>
        <w:t>shares of our common stock registered under the Shelf Registration Statement, at a public offering price of $22.25</w:t>
      </w:r>
      <w:r>
        <w:rPr>
          <w:rFonts w:ascii="Times New Roman" w:hAnsi="Times New Roman"/>
          <w:color w:val="000000"/>
          <w:sz w:val="20"/>
        </w:rPr>
        <w:t xml:space="preserve"> </w:t>
      </w:r>
      <w:r>
        <w:rPr>
          <w:rFonts w:ascii="Times New Roman" w:hAnsi="Times New Roman"/>
          <w:color w:val="000000"/>
          <w:sz w:val="18"/>
        </w:rPr>
        <w:t>per share, for an aggregate offering price of approximately $115.0</w:t>
      </w:r>
      <w:r>
        <w:rPr>
          <w:rFonts w:ascii="Times New Roman" w:hAnsi="Times New Roman"/>
          <w:color w:val="000000"/>
          <w:sz w:val="20"/>
        </w:rPr>
        <w:t xml:space="preserve"> </w:t>
      </w:r>
      <w:r>
        <w:rPr>
          <w:rFonts w:ascii="Times New Roman" w:hAnsi="Times New Roman"/>
          <w:color w:val="000000"/>
          <w:sz w:val="18"/>
        </w:rPr>
        <w:t>million. We received net proceeds of $108.8</w:t>
      </w:r>
      <w:r>
        <w:rPr>
          <w:rFonts w:ascii="Times New Roman" w:hAnsi="Times New Roman"/>
          <w:color w:val="000000"/>
          <w:sz w:val="20"/>
        </w:rPr>
        <w:t xml:space="preserve"> </w:t>
      </w:r>
      <w:r>
        <w:rPr>
          <w:rFonts w:ascii="Times New Roman" w:hAnsi="Times New Roman"/>
          <w:color w:val="000000"/>
          <w:sz w:val="18"/>
        </w:rPr>
        <w:t>million from the offering after deducting underwriters’ discounts and commissions of $5.8</w:t>
      </w:r>
      <w:r>
        <w:rPr>
          <w:rFonts w:ascii="Times New Roman" w:hAnsi="Times New Roman"/>
          <w:color w:val="000000"/>
          <w:sz w:val="20"/>
        </w:rPr>
        <w:t xml:space="preserve"> </w:t>
      </w:r>
      <w:r>
        <w:rPr>
          <w:rFonts w:ascii="Times New Roman" w:hAnsi="Times New Roman"/>
          <w:color w:val="000000"/>
          <w:sz w:val="18"/>
        </w:rPr>
        <w:t>million and offering costs of $0.4</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8"/>
        </w:rPr>
        <w:t>Note 11. Capital Structure</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8"/>
        </w:rPr>
        <w:t>As of June 30, 2026, the Company was authorized to issue up to 422,000,000</w:t>
      </w:r>
      <w:r>
        <w:rPr>
          <w:rFonts w:ascii="Times New Roman" w:hAnsi="Times New Roman"/>
          <w:color w:val="000000"/>
          <w:sz w:val="20"/>
        </w:rPr>
        <w:t xml:space="preserve"> </w:t>
      </w:r>
      <w:r>
        <w:rPr>
          <w:rFonts w:ascii="Times New Roman" w:hAnsi="Times New Roman"/>
          <w:color w:val="000000"/>
          <w:sz w:val="18"/>
        </w:rPr>
        <w:t>shares of common stock, each with a par value of $0.0001</w:t>
      </w:r>
      <w:r>
        <w:rPr>
          <w:rFonts w:ascii="Times New Roman" w:hAnsi="Times New Roman"/>
          <w:color w:val="000000"/>
          <w:sz w:val="20"/>
        </w:rPr>
        <w:t xml:space="preserve"> </w:t>
      </w:r>
      <w:r>
        <w:rPr>
          <w:rFonts w:ascii="Times New Roman" w:hAnsi="Times New Roman"/>
          <w:color w:val="000000"/>
          <w:sz w:val="18"/>
        </w:rPr>
        <w:t>per share.</w:t>
      </w:r>
    </w:p>
    <w:p>
      <w:pPr>
        <w:pStyle w:val="TextBody"/>
        <w:bidi w:val="0"/>
        <w:jc w:val="left"/>
        <w:rPr/>
      </w:pPr>
      <w:r>
        <w:rPr/>
        <w:t> </w:t>
      </w:r>
    </w:p>
    <w:p>
      <w:pPr>
        <w:pStyle w:val="TextBody"/>
        <w:bidi w:val="0"/>
        <w:spacing w:before="40" w:after="283"/>
        <w:jc w:val="left"/>
        <w:rPr>
          <w:rFonts w:ascii="Times New Roman" w:hAnsi="Times New Roman"/>
          <w:b/>
          <w:i/>
          <w:color w:val="000000"/>
          <w:sz w:val="18"/>
        </w:rPr>
      </w:pPr>
      <w:r>
        <w:rPr>
          <w:rFonts w:ascii="Times New Roman" w:hAnsi="Times New Roman"/>
          <w:b/>
          <w:i/>
          <w:color w:val="000000"/>
          <w:sz w:val="18"/>
        </w:rPr>
        <w:t>Preferred Stock</w:t>
      </w:r>
    </w:p>
    <w:p>
      <w:pPr>
        <w:pStyle w:val="TextBody"/>
        <w:bidi w:val="0"/>
        <w:spacing w:before="140" w:after="283"/>
        <w:jc w:val="left"/>
        <w:rPr>
          <w:rFonts w:ascii="Times New Roman" w:hAnsi="Times New Roman"/>
          <w:sz w:val="20"/>
        </w:rPr>
      </w:pPr>
      <w:r>
        <w:rPr>
          <w:rFonts w:ascii="Times New Roman" w:hAnsi="Times New Roman"/>
          <w:color w:val="000000"/>
          <w:sz w:val="18"/>
        </w:rPr>
        <w:t>The Company is authorized to issue up to 10,000,000</w:t>
      </w:r>
      <w:r>
        <w:rPr>
          <w:rFonts w:ascii="Times New Roman" w:hAnsi="Times New Roman"/>
          <w:color w:val="000000"/>
          <w:sz w:val="20"/>
        </w:rPr>
        <w:t xml:space="preserve"> </w:t>
      </w:r>
      <w:r>
        <w:rPr>
          <w:rFonts w:ascii="Times New Roman" w:hAnsi="Times New Roman"/>
          <w:color w:val="000000"/>
          <w:sz w:val="18"/>
        </w:rPr>
        <w:t>shares of preferred stock, each with a par value of $0.0001</w:t>
      </w:r>
      <w:r>
        <w:rPr>
          <w:rFonts w:ascii="Times New Roman" w:hAnsi="Times New Roman"/>
          <w:color w:val="000000"/>
          <w:sz w:val="20"/>
        </w:rPr>
        <w:t xml:space="preserve"> </w:t>
      </w:r>
      <w:r>
        <w:rPr>
          <w:rFonts w:ascii="Times New Roman" w:hAnsi="Times New Roman"/>
          <w:color w:val="000000"/>
          <w:sz w:val="18"/>
        </w:rPr>
        <w:t>per share. As of June 30, 2026 and December 31, 2025, no</w:t>
      </w:r>
      <w:r>
        <w:rPr>
          <w:rFonts w:ascii="Times New Roman" w:hAnsi="Times New Roman"/>
          <w:color w:val="000000"/>
          <w:sz w:val="20"/>
        </w:rPr>
        <w:t xml:space="preserve"> </w:t>
      </w:r>
      <w:r>
        <w:rPr>
          <w:rFonts w:ascii="Times New Roman" w:hAnsi="Times New Roman"/>
          <w:color w:val="000000"/>
          <w:sz w:val="18"/>
        </w:rPr>
        <w:t>shares of preferred stock were issued and outstanding.</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Warrants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June 30, 2026, the Company had 3,000,000</w:t>
      </w:r>
      <w:r>
        <w:rPr>
          <w:rFonts w:ascii="Times New Roman" w:hAnsi="Times New Roman"/>
          <w:color w:val="000000"/>
          <w:sz w:val="20"/>
        </w:rPr>
        <w:t xml:space="preserve"> </w:t>
      </w:r>
      <w:r>
        <w:rPr>
          <w:rFonts w:ascii="Times New Roman" w:hAnsi="Times New Roman"/>
          <w:color w:val="000000"/>
          <w:sz w:val="18"/>
        </w:rPr>
        <w:t>Series A Warrants outstanding in connection with the Facility Agreement. Each Series A Warrant entitles the registered holder to purchase one share of common stock at an exercise price of $5.00</w:t>
      </w:r>
      <w:r>
        <w:rPr>
          <w:rFonts w:ascii="Times New Roman" w:hAnsi="Times New Roman"/>
          <w:color w:val="000000"/>
          <w:sz w:val="20"/>
        </w:rPr>
        <w:t xml:space="preserve"> </w:t>
      </w:r>
      <w:r>
        <w:rPr>
          <w:rFonts w:ascii="Times New Roman" w:hAnsi="Times New Roman"/>
          <w:color w:val="000000"/>
          <w:sz w:val="18"/>
        </w:rPr>
        <w:t>per share. As of December 31, 2025, the Company also had 12,074,876</w:t>
      </w:r>
      <w:r>
        <w:rPr>
          <w:rFonts w:ascii="Times New Roman" w:hAnsi="Times New Roman"/>
          <w:color w:val="000000"/>
          <w:sz w:val="20"/>
        </w:rPr>
        <w:t xml:space="preserve"> </w:t>
      </w:r>
      <w:r>
        <w:rPr>
          <w:rFonts w:ascii="Times New Roman" w:hAnsi="Times New Roman"/>
          <w:color w:val="000000"/>
          <w:sz w:val="18"/>
        </w:rPr>
        <w:t>public warrants and 384,000</w:t>
      </w:r>
      <w:r>
        <w:rPr>
          <w:rFonts w:ascii="Times New Roman" w:hAnsi="Times New Roman"/>
          <w:color w:val="000000"/>
          <w:sz w:val="20"/>
        </w:rPr>
        <w:t xml:space="preserve"> </w:t>
      </w:r>
      <w:r>
        <w:rPr>
          <w:rFonts w:ascii="Times New Roman" w:hAnsi="Times New Roman"/>
          <w:color w:val="000000"/>
          <w:sz w:val="18"/>
        </w:rPr>
        <w:t>private warrants outstanding, exercisable for 2,491,776</w:t>
      </w:r>
      <w:r>
        <w:rPr>
          <w:rFonts w:ascii="Times New Roman" w:hAnsi="Times New Roman"/>
          <w:color w:val="000000"/>
          <w:sz w:val="20"/>
        </w:rPr>
        <w:t xml:space="preserve"> </w:t>
      </w:r>
      <w:r>
        <w:rPr>
          <w:rFonts w:ascii="Times New Roman" w:hAnsi="Times New Roman"/>
          <w:color w:val="000000"/>
          <w:sz w:val="18"/>
        </w:rPr>
        <w:t>shares of common stock. These warrants expired on March 12, 2026, and they were no longer traded upon expiration.</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Note 12. Loss Per Share</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The following table sets forth the computation of the basic and diluted net loss per share attributable to common stockholders for the periods presented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84"/>
        <w:gridCol w:w="146"/>
        <w:gridCol w:w="196"/>
        <w:gridCol w:w="916"/>
        <w:gridCol w:w="166"/>
        <w:gridCol w:w="146"/>
        <w:gridCol w:w="196"/>
        <w:gridCol w:w="916"/>
        <w:gridCol w:w="166"/>
        <w:gridCol w:w="146"/>
        <w:gridCol w:w="196"/>
        <w:gridCol w:w="916"/>
        <w:gridCol w:w="166"/>
        <w:gridCol w:w="146"/>
        <w:gridCol w:w="196"/>
        <w:gridCol w:w="916"/>
        <w:gridCol w:w="391"/>
      </w:tblGrid>
      <w:tr>
        <w:trPr/>
        <w:tc>
          <w:tcPr>
            <w:tcW w:w="4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 average shares of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64,672,666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55,161,124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63,745,534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54,956,722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per share attributable to common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jc w:val="left"/>
        <w:rPr/>
      </w:pPr>
      <w:r>
        <w:rPr/>
        <w:t> </w:t>
      </w:r>
    </w:p>
    <w:tbl>
      <w:tblPr>
        <w:tblW w:w="6189" w:type="dxa"/>
        <w:jc w:val="left"/>
        <w:tblInd w:w="0" w:type="dxa"/>
        <w:tblLayout w:type="fixed"/>
        <w:tblCellMar>
          <w:top w:w="28" w:type="dxa"/>
          <w:left w:w="28" w:type="dxa"/>
          <w:bottom w:w="28" w:type="dxa"/>
          <w:right w:w="28" w:type="dxa"/>
        </w:tblCellMar>
      </w:tblPr>
      <w:tblGrid>
        <w:gridCol w:w="3436"/>
        <w:gridCol w:w="146"/>
        <w:gridCol w:w="146"/>
        <w:gridCol w:w="916"/>
        <w:gridCol w:w="146"/>
        <w:gridCol w:w="146"/>
        <w:gridCol w:w="146"/>
        <w:gridCol w:w="91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2,303,765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2,320,011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7,286,827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8,671,167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subscription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3,509,719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2,491,776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6,303,480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20,589,228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21,904,438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 w:after="283"/>
        <w:jc w:val="left"/>
        <w:rPr>
          <w:rFonts w:ascii="Times New Roman" w:hAnsi="Times New Roman"/>
          <w:b/>
          <w:color w:val="000000"/>
          <w:sz w:val="18"/>
        </w:rPr>
      </w:pPr>
      <w:r>
        <w:rPr>
          <w:rFonts w:ascii="Times New Roman" w:hAnsi="Times New Roman"/>
          <w:b/>
          <w:color w:val="000000"/>
          <w:sz w:val="18"/>
        </w:rPr>
        <w:t>Note 13. Stock-based Compensation</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Stock Options</w:t>
      </w:r>
    </w:p>
    <w:p>
      <w:pPr>
        <w:pStyle w:val="TextBody"/>
        <w:bidi w:val="0"/>
        <w:spacing w:before="144" w:after="283"/>
        <w:jc w:val="left"/>
        <w:rPr>
          <w:rFonts w:ascii="Times New Roman" w:hAnsi="Times New Roman"/>
          <w:sz w:val="20"/>
        </w:rPr>
      </w:pPr>
      <w:r>
        <w:rPr>
          <w:rFonts w:ascii="Times New Roman" w:hAnsi="Times New Roman"/>
          <w:color w:val="000000"/>
          <w:sz w:val="18"/>
        </w:rPr>
        <w:t>Aeva, Inc. adopted the 2016 Stock Incentive Plan in 2016 (the “2016 Plan”). Under the 2016 Plan, the board of directors of Aeva, Inc. granted awards, including incentive stock options, non-qualified stock options and restricted stock units (</w:t>
      </w:r>
      <w:r>
        <w:rPr>
          <w:rFonts w:ascii="Times New Roman" w:hAnsi="Times New Roman"/>
          <w:color w:val="231F20"/>
          <w:sz w:val="20"/>
        </w:rPr>
        <w:t>“</w:t>
      </w:r>
      <w:r>
        <w:rPr>
          <w:rFonts w:ascii="Times New Roman" w:hAnsi="Times New Roman"/>
          <w:color w:val="231F20"/>
          <w:sz w:val="18"/>
        </w:rPr>
        <w:t>RSUs”</w:t>
      </w:r>
      <w:r>
        <w:rPr>
          <w:rFonts w:ascii="Times New Roman" w:hAnsi="Times New Roman"/>
          <w:color w:val="000000"/>
          <w:sz w:val="18"/>
        </w:rPr>
        <w:t xml:space="preserve">), to employees. In connection with the Business Combination, the Company assumed the 2016 Plan and all awards outstanding under the 2016 Plan, and adopted the 2021 Incentive Award Plan (the “2021 Plan” and together with the 2016 Plan, the “Stock Plans”) under which incentive stock options, non-qualified stock options and </w:t>
      </w:r>
      <w:r>
        <w:rPr>
          <w:rFonts w:ascii="Times New Roman" w:hAnsi="Times New Roman"/>
          <w:color w:val="231F20"/>
          <w:sz w:val="18"/>
        </w:rPr>
        <w:t>RSU</w:t>
      </w:r>
      <w:r>
        <w:rPr>
          <w:rFonts w:ascii="Times New Roman" w:hAnsi="Times New Roman"/>
          <w:color w:val="000000"/>
          <w:sz w:val="20"/>
        </w:rPr>
        <w:t xml:space="preserve"> </w:t>
      </w:r>
      <w:r>
        <w:rPr>
          <w:rFonts w:ascii="Times New Roman" w:hAnsi="Times New Roman"/>
          <w:color w:val="000000"/>
          <w:sz w:val="18"/>
        </w:rPr>
        <w:t>may be granted to employees. Under the Stock Plans, the Company had 602,244</w:t>
      </w:r>
      <w:r>
        <w:rPr>
          <w:rFonts w:ascii="Times New Roman" w:hAnsi="Times New Roman"/>
          <w:color w:val="000000"/>
          <w:sz w:val="20"/>
        </w:rPr>
        <w:t xml:space="preserve"> </w:t>
      </w:r>
      <w:r>
        <w:rPr>
          <w:rFonts w:ascii="Times New Roman" w:hAnsi="Times New Roman"/>
          <w:color w:val="000000"/>
          <w:sz w:val="18"/>
        </w:rPr>
        <w:t>shares available for issuance as of June 30, 2026.</w:t>
      </w:r>
    </w:p>
    <w:p>
      <w:pPr>
        <w:pStyle w:val="TextBody"/>
        <w:bidi w:val="0"/>
        <w:spacing w:before="180" w:after="283"/>
        <w:jc w:val="left"/>
        <w:rPr>
          <w:rFonts w:ascii="Times New Roman" w:hAnsi="Times New Roman"/>
          <w:sz w:val="20"/>
        </w:rPr>
      </w:pPr>
      <w:r>
        <w:rPr>
          <w:rFonts w:ascii="Times New Roman" w:hAnsi="Times New Roman"/>
          <w:color w:val="000000"/>
          <w:sz w:val="18"/>
        </w:rPr>
        <w:t>Under the terms of the Stock Plans, incentive stock options must have an exercise price at or above the fair market value of the stock on the date of the grant, while non-qualified stock options are permitted to be granted below fair market value of the stock on the date of grant. The majority of stock options granted have service-based vesting conditions only. The service-based vesting conditions vary; however, typically stock options vest over four years</w:t>
      </w:r>
      <w:r>
        <w:rPr>
          <w:rFonts w:ascii="Times New Roman" w:hAnsi="Times New Roman"/>
          <w:color w:val="000000"/>
          <w:sz w:val="20"/>
        </w:rPr>
        <w:t xml:space="preserve"> </w:t>
      </w:r>
      <w:r>
        <w:rPr>
          <w:rFonts w:ascii="Times New Roman" w:hAnsi="Times New Roman"/>
          <w:color w:val="000000"/>
          <w:sz w:val="18"/>
        </w:rPr>
        <w:t>with 25% of stock options vesting on the first anniversary of the grant and the remaining 75% vesting monthly over the remaining 36 months. Option holders have a ten-year period to exercise the options before they expire.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A summary of the Company’s stock option activity, for the six months ended June 30, 2026, was as follows:</w:t>
      </w:r>
    </w:p>
    <w:p>
      <w:pPr>
        <w:pStyle w:val="TextBody"/>
        <w:bidi w:val="0"/>
        <w:jc w:val="left"/>
        <w:rPr/>
      </w:pPr>
      <w:r>
        <w:rPr/>
        <w:t> </w:t>
      </w:r>
    </w:p>
    <w:tbl>
      <w:tblPr>
        <w:tblW w:w="9182" w:type="dxa"/>
        <w:jc w:val="left"/>
        <w:tblInd w:w="0" w:type="dxa"/>
        <w:tblLayout w:type="fixed"/>
        <w:tblCellMar>
          <w:top w:w="28" w:type="dxa"/>
          <w:left w:w="28" w:type="dxa"/>
          <w:bottom w:w="28" w:type="dxa"/>
          <w:right w:w="28" w:type="dxa"/>
        </w:tblCellMar>
      </w:tblPr>
      <w:tblGrid>
        <w:gridCol w:w="3526"/>
        <w:gridCol w:w="146"/>
        <w:gridCol w:w="146"/>
        <w:gridCol w:w="826"/>
        <w:gridCol w:w="166"/>
        <w:gridCol w:w="146"/>
        <w:gridCol w:w="366"/>
        <w:gridCol w:w="789"/>
        <w:gridCol w:w="146"/>
        <w:gridCol w:w="146"/>
        <w:gridCol w:w="266"/>
        <w:gridCol w:w="770"/>
        <w:gridCol w:w="146"/>
        <w:gridCol w:w="146"/>
        <w:gridCol w:w="309"/>
        <w:gridCol w:w="951"/>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 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2,316,417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2,303,765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2,303,765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2,303,765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Times New Roman" w:hAnsi="Times New Roman"/>
          <w:color w:val="000000"/>
          <w:sz w:val="18"/>
        </w:rPr>
        <w:t>There were no</w:t>
      </w:r>
      <w:r>
        <w:rPr>
          <w:rFonts w:ascii="Times New Roman" w:hAnsi="Times New Roman"/>
          <w:color w:val="000000"/>
          <w:sz w:val="20"/>
        </w:rPr>
        <w:t xml:space="preserve"> </w:t>
      </w:r>
      <w:r>
        <w:rPr>
          <w:rFonts w:ascii="Times New Roman" w:hAnsi="Times New Roman"/>
          <w:color w:val="000000"/>
          <w:sz w:val="18"/>
        </w:rPr>
        <w:t>options granted during the three months ended June 30, 2026. As of June 30, 2026, the Company had no unrecognized stock-based compensation expense related to the stock options.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i/>
          <w:color w:val="000000"/>
          <w:sz w:val="18"/>
        </w:rPr>
        <w:t>Restricted Stock Units and Performance-based Restricted Stock Units (</w:t>
      </w:r>
      <w:r>
        <w:rPr>
          <w:rFonts w:ascii="Times New Roman" w:hAnsi="Times New Roman"/>
          <w:color w:val="231F20"/>
          <w:sz w:val="20"/>
        </w:rPr>
        <w:t>“</w:t>
      </w:r>
      <w:r>
        <w:rPr>
          <w:rFonts w:ascii="Times New Roman" w:hAnsi="Times New Roman"/>
          <w:i/>
          <w:color w:val="231F20"/>
          <w:sz w:val="18"/>
        </w:rPr>
        <w:t>PBRSUs”)</w:t>
      </w:r>
    </w:p>
    <w:p>
      <w:pPr>
        <w:pStyle w:val="TextBody"/>
        <w:bidi w:val="0"/>
        <w:spacing w:before="180" w:after="283"/>
        <w:jc w:val="left"/>
        <w:rPr>
          <w:rFonts w:ascii="Times New Roman" w:hAnsi="Times New Roman"/>
          <w:sz w:val="20"/>
        </w:rPr>
      </w:pPr>
      <w:r>
        <w:rPr>
          <w:rFonts w:ascii="Times New Roman" w:hAnsi="Times New Roman"/>
          <w:color w:val="000000"/>
          <w:sz w:val="18"/>
        </w:rPr>
        <w:t>Beginning November 2020, the Company granted RSUs and PBRSUs to certain employees and consultants pursuant to the 2016 Plan and 2021 Plan. RSUs typically vest 25</w:t>
      </w:r>
      <w:r>
        <w:rPr>
          <w:rFonts w:ascii="Times New Roman" w:hAnsi="Times New Roman"/>
          <w:color w:val="000000"/>
          <w:sz w:val="20"/>
        </w:rPr>
        <w:t xml:space="preserve"> </w:t>
      </w:r>
      <w:r>
        <w:rPr>
          <w:rFonts w:ascii="Times New Roman" w:hAnsi="Times New Roman"/>
          <w:color w:val="000000"/>
          <w:sz w:val="18"/>
        </w:rPr>
        <w:t>percent upon the one-year</w:t>
      </w:r>
      <w:r>
        <w:rPr>
          <w:rFonts w:ascii="Times New Roman" w:hAnsi="Times New Roman"/>
          <w:color w:val="000000"/>
          <w:sz w:val="20"/>
        </w:rPr>
        <w:t xml:space="preserve"> </w:t>
      </w:r>
      <w:r>
        <w:rPr>
          <w:rFonts w:ascii="Times New Roman" w:hAnsi="Times New Roman"/>
          <w:color w:val="000000"/>
          <w:sz w:val="18"/>
        </w:rPr>
        <w:t>anniversary date from the initial vesting date, with 12.5% vesting on each six-month</w:t>
      </w:r>
      <w:r>
        <w:rPr>
          <w:rFonts w:ascii="Times New Roman" w:hAnsi="Times New Roman"/>
          <w:color w:val="000000"/>
          <w:sz w:val="20"/>
        </w:rPr>
        <w:t xml:space="preserve"> </w:t>
      </w:r>
      <w:r>
        <w:rPr>
          <w:rFonts w:ascii="Times New Roman" w:hAnsi="Times New Roman"/>
          <w:color w:val="000000"/>
          <w:sz w:val="18"/>
        </w:rPr>
        <w:t>anniversary date over the following three years. The RSUs are subject to time-based vesting conditions. PBRSUs are subject to a time-based vesting condition and a performance condition or market condition.</w:t>
      </w:r>
    </w:p>
    <w:p>
      <w:pPr>
        <w:pStyle w:val="TextBody"/>
        <w:bidi w:val="0"/>
        <w:spacing w:before="180" w:after="283"/>
        <w:jc w:val="left"/>
        <w:rPr>
          <w:rFonts w:ascii="Times New Roman" w:hAnsi="Times New Roman"/>
          <w:sz w:val="20"/>
        </w:rPr>
      </w:pPr>
      <w:r>
        <w:rPr>
          <w:rFonts w:ascii="Times New Roman" w:hAnsi="Times New Roman"/>
          <w:color w:val="000000"/>
          <w:sz w:val="18"/>
        </w:rPr>
        <w:t>In May 2023, the Company granted a total of 1,176,471</w:t>
      </w:r>
      <w:r>
        <w:rPr>
          <w:rFonts w:ascii="Times New Roman" w:hAnsi="Times New Roman"/>
          <w:color w:val="000000"/>
          <w:sz w:val="20"/>
        </w:rPr>
        <w:t xml:space="preserve"> </w:t>
      </w:r>
      <w:r>
        <w:rPr>
          <w:rFonts w:ascii="Times New Roman" w:hAnsi="Times New Roman"/>
          <w:color w:val="000000"/>
          <w:sz w:val="18"/>
        </w:rPr>
        <w:t>PBRSUs pursuant to the 2021 Plan to certain executives that vest on achieving certain operational milestones as defined in the individual grant agreements subject to continued employment through 2025. Stock-based compensation expense is recognized over the expected performance achievement period of individual performance milestones when the achievement of each individual performance milestone becomes probable. If satisfaction of the performance condition is not probable, stock-based compensation cost recognition is deferred until it becomes probable. The Company reassesses the probability as to whether satisfaction of the performance condition is prob</w:t>
      </w:r>
      <w:r>
        <w:rPr>
          <w:rFonts w:ascii="Times New Roman" w:hAnsi="Times New Roman"/>
          <w:color w:val="231F20"/>
          <w:sz w:val="18"/>
        </w:rPr>
        <w:t xml:space="preserve">able on a quarterly basis, and stock-based compensation cost is adjusted based on the portion of the requisite service provided. These PBRSUs neither carry rights to dividends nor voting rights until the shares are issued or transferred to the recipient. Awards are forfeited if an employee leaves the Company before the PBRSUs vest or the performance period lapses. </w:t>
      </w:r>
      <w:r>
        <w:rPr>
          <w:rFonts w:ascii="Times New Roman" w:hAnsi="Times New Roman"/>
          <w:color w:val="000000"/>
          <w:sz w:val="18"/>
        </w:rPr>
        <w:t>The weighted-average grant date PBRSU fair value of $5.10</w:t>
      </w:r>
      <w:r>
        <w:rPr>
          <w:rFonts w:ascii="Times New Roman" w:hAnsi="Times New Roman"/>
          <w:color w:val="000000"/>
          <w:sz w:val="20"/>
        </w:rPr>
        <w:t xml:space="preserve"> </w:t>
      </w:r>
      <w:r>
        <w:rPr>
          <w:rFonts w:ascii="Times New Roman" w:hAnsi="Times New Roman"/>
          <w:color w:val="000000"/>
          <w:sz w:val="18"/>
        </w:rPr>
        <w:t>per share is determined based upon the market closing price of the Company’s common stock on the date of grant. These PBRSUs were fully vested and released on December 31, 2025 pursuant to the satisfaction of the applicable service condition.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color w:val="000000"/>
          <w:sz w:val="18"/>
        </w:rPr>
        <w:t>In May 2023, the Company also granted a total of 735,294</w:t>
      </w:r>
      <w:r>
        <w:rPr>
          <w:rFonts w:ascii="Times New Roman" w:hAnsi="Times New Roman"/>
          <w:color w:val="000000"/>
          <w:sz w:val="20"/>
        </w:rPr>
        <w:t xml:space="preserve"> </w:t>
      </w:r>
      <w:r>
        <w:rPr>
          <w:rFonts w:ascii="Times New Roman" w:hAnsi="Times New Roman"/>
          <w:color w:val="000000"/>
          <w:sz w:val="18"/>
        </w:rPr>
        <w:t>market-based PBRSUs pursuant to the 2021 Plan to certain executives that vest over a multi-year period, upon continued service and wh</w:t>
      </w:r>
      <w:r>
        <w:rPr>
          <w:rFonts w:ascii="Times New Roman" w:hAnsi="Times New Roman"/>
          <w:color w:val="231F20"/>
          <w:sz w:val="18"/>
        </w:rPr>
        <w:t>en the volume-weighted average price per share (“VWAP Average”) of the Company’s common stock for the preceding 30 consecutive trading days equals or exceeds the target stock price for the indicated year. The Company recognizes stock-based compensation based upon the grant date fair value on an accelerated attribution basis over the requisite service period of the award. Provided that the requisite service is rendered, the total fair value of the market-based PBRSUs at the date of grant is recognized as compensation expense even if the market condition is not achieved. However, the number of shares that ultimately vest can vary significantly with the achievement of the specified market criteria. These PBRSUs neither carry rights to dividends nor voting rights until the shares are issued or transferred to the recipient. Awards are forfeited if an employee leaves the Company before the PBRSUs vest. The weighted-average grant date fair value of the market-based PBRSUs was $1.40</w:t>
      </w:r>
      <w:r>
        <w:rPr>
          <w:rFonts w:ascii="Times New Roman" w:hAnsi="Times New Roman"/>
          <w:color w:val="231F20"/>
          <w:sz w:val="20"/>
        </w:rPr>
        <w:t xml:space="preserve"> </w:t>
      </w:r>
      <w:r>
        <w:rPr>
          <w:rFonts w:ascii="Times New Roman" w:hAnsi="Times New Roman"/>
          <w:color w:val="231F20"/>
          <w:sz w:val="18"/>
        </w:rPr>
        <w:t>per share. The Company estimated the fair value of the market-based PBRSUs award on the grant date using the Monte Carlo simulation model with the following assumptions:</w:t>
      </w:r>
    </w:p>
    <w:tbl>
      <w:tblPr>
        <w:tblW w:w="2818" w:type="dxa"/>
        <w:jc w:val="left"/>
        <w:tblInd w:w="0" w:type="dxa"/>
        <w:tblLayout w:type="fixed"/>
        <w:tblCellMar>
          <w:top w:w="28" w:type="dxa"/>
          <w:left w:w="28" w:type="dxa"/>
          <w:bottom w:w="28" w:type="dxa"/>
          <w:right w:w="28" w:type="dxa"/>
        </w:tblCellMar>
      </w:tblPr>
      <w:tblGrid>
        <w:gridCol w:w="1666"/>
        <w:gridCol w:w="146"/>
        <w:gridCol w:w="224"/>
        <w:gridCol w:w="481"/>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0.5 - 4.7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18"/>
        </w:rPr>
        <w:t>As of June 30, 2026, the total unrecognized compensation expense related to the market-based PBRSUs was $0.2</w:t>
      </w:r>
      <w:r>
        <w:rPr>
          <w:rFonts w:ascii="Times New Roman" w:hAnsi="Times New Roman"/>
          <w:color w:val="231F20"/>
          <w:sz w:val="20"/>
        </w:rPr>
        <w:t xml:space="preserve"> </w:t>
      </w:r>
      <w:r>
        <w:rPr>
          <w:rFonts w:ascii="Times New Roman" w:hAnsi="Times New Roman"/>
          <w:color w:val="231F20"/>
          <w:sz w:val="18"/>
        </w:rPr>
        <w:t>million, which is expected to be amortized over a weighted-average period of 1.5</w:t>
      </w:r>
      <w:r>
        <w:rPr>
          <w:rFonts w:ascii="Times New Roman" w:hAnsi="Times New Roman"/>
          <w:color w:val="231F20"/>
          <w:sz w:val="20"/>
        </w:rPr>
        <w:t xml:space="preserve"> </w:t>
      </w:r>
      <w:r>
        <w:rPr>
          <w:rFonts w:ascii="Times New Roman" w:hAnsi="Times New Roman"/>
          <w:color w:val="231F20"/>
          <w:sz w:val="18"/>
        </w:rPr>
        <w:t>years.</w:t>
      </w:r>
    </w:p>
    <w:p>
      <w:pPr>
        <w:pStyle w:val="TextBody"/>
        <w:bidi w:val="0"/>
        <w:spacing w:before="180" w:after="283"/>
        <w:jc w:val="left"/>
        <w:rPr>
          <w:rFonts w:ascii="Times New Roman" w:hAnsi="Times New Roman"/>
          <w:sz w:val="20"/>
        </w:rPr>
      </w:pPr>
      <w:r>
        <w:rPr>
          <w:rFonts w:ascii="Times New Roman" w:hAnsi="Times New Roman"/>
          <w:color w:val="000000"/>
          <w:sz w:val="18"/>
        </w:rPr>
        <w:t>In May 2026, the Company granted a total of 319,954</w:t>
      </w:r>
      <w:r>
        <w:rPr>
          <w:rFonts w:ascii="Times New Roman" w:hAnsi="Times New Roman"/>
          <w:color w:val="000000"/>
          <w:sz w:val="20"/>
        </w:rPr>
        <w:t xml:space="preserve"> </w:t>
      </w:r>
      <w:r>
        <w:rPr>
          <w:rFonts w:ascii="Times New Roman" w:hAnsi="Times New Roman"/>
          <w:color w:val="000000"/>
          <w:sz w:val="18"/>
        </w:rPr>
        <w:t>PBRSUs pursuant to the 2021 Plan to certain executives that vest on achieving certain operational milestones as defined in the individual grant agreements subject to continued employment. Stock-based compensation expense is recognized over the expected performance achievement period of individual performance milestone when the achievement of the performance milestone becomes probable. If satisfaction of the performance condition is not probable, stock-based compensation cost recognition is deferred until it becomes probable. The Company reassesses the probability as to whether satisfaction of the performance condition is prob</w:t>
      </w:r>
      <w:r>
        <w:rPr>
          <w:rFonts w:ascii="Times New Roman" w:hAnsi="Times New Roman"/>
          <w:color w:val="231F20"/>
          <w:sz w:val="18"/>
        </w:rPr>
        <w:t xml:space="preserve">able on a quarterly basis, and stock-based compensation cost is adjusted based on the portion of the requisite service provided. These PBRSUs neither carry rights to dividends nor voting rights until the shares are issued or transferred to the recipient. Awards are forfeited if an employee leaves the Company before the PBRSUs vest or the performance period lapses. </w:t>
      </w:r>
      <w:r>
        <w:rPr>
          <w:rFonts w:ascii="Times New Roman" w:hAnsi="Times New Roman"/>
          <w:color w:val="000000"/>
          <w:sz w:val="18"/>
        </w:rPr>
        <w:t>The grant date PBRSU value of $28.18</w:t>
      </w:r>
      <w:r>
        <w:rPr>
          <w:rFonts w:ascii="Times New Roman" w:hAnsi="Times New Roman"/>
          <w:color w:val="000000"/>
          <w:sz w:val="20"/>
        </w:rPr>
        <w:t xml:space="preserve"> </w:t>
      </w:r>
      <w:r>
        <w:rPr>
          <w:rFonts w:ascii="Times New Roman" w:hAnsi="Times New Roman"/>
          <w:color w:val="000000"/>
          <w:sz w:val="18"/>
        </w:rPr>
        <w:t>per share is determined based upon the market closing price of the Company’s common stock on the date of grant. As of June 30, 2026, achievement of the performance milestone related to the PBRSUs was not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180" w:after="283"/>
        <w:jc w:val="left"/>
        <w:rPr>
          <w:rFonts w:ascii="Times New Roman" w:hAnsi="Times New Roman"/>
          <w:sz w:val="20"/>
        </w:rPr>
      </w:pPr>
      <w:r>
        <w:rPr>
          <w:rFonts w:ascii="Times New Roman" w:hAnsi="Times New Roman"/>
          <w:color w:val="000000"/>
          <w:sz w:val="18"/>
        </w:rPr>
        <w:t>considered probable. Accordingly, no stock-based compensation expense was recognized during the period. As of June 30, 2026, the total unrecognized compensation expense related to the performance-based PBRSUs was $9.0</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color w:val="000000"/>
          <w:sz w:val="18"/>
        </w:rPr>
        <w:t>In May 2026, the Company also granted a total of 639,908</w:t>
      </w:r>
      <w:r>
        <w:rPr>
          <w:rFonts w:ascii="Times New Roman" w:hAnsi="Times New Roman"/>
          <w:color w:val="000000"/>
          <w:sz w:val="20"/>
        </w:rPr>
        <w:t xml:space="preserve"> </w:t>
      </w:r>
      <w:r>
        <w:rPr>
          <w:rFonts w:ascii="Times New Roman" w:hAnsi="Times New Roman"/>
          <w:color w:val="000000"/>
          <w:sz w:val="18"/>
        </w:rPr>
        <w:t>market-based PBRSUs pursuant to the 2021 Plan to certain executives that vest over a multi-year period, upon continued service and when the average price per share of the Company’s common stock for the preceding 30 consecutive calendar days equals or exceeds the target stock price before the end of the indicated performance period. The Company recognizes stock-based compensation based upon the grant date fair value on an accelerated attribution basis over the requisite service period of the award. Provided that the requisite service is rendered, the total fair value of the market-based PBRSUs at the date of grant is recognized as compensation expense even if the market condition is not achieved. However, the number of shares that ultimately vest can vary significantly with the achievement of the specified market criteria. The weighted-average grant date fair value of the market-based PBRSUs was $26.80</w:t>
      </w:r>
      <w:r>
        <w:rPr>
          <w:rFonts w:ascii="Times New Roman" w:hAnsi="Times New Roman"/>
          <w:color w:val="000000"/>
          <w:sz w:val="20"/>
        </w:rPr>
        <w:t xml:space="preserve"> </w:t>
      </w:r>
      <w:r>
        <w:rPr>
          <w:rFonts w:ascii="Times New Roman" w:hAnsi="Times New Roman"/>
          <w:color w:val="000000"/>
          <w:sz w:val="18"/>
        </w:rPr>
        <w:t xml:space="preserve">per share. </w:t>
      </w:r>
      <w:r>
        <w:rPr>
          <w:rFonts w:ascii="Times New Roman" w:hAnsi="Times New Roman"/>
          <w:color w:val="231F20"/>
          <w:sz w:val="18"/>
        </w:rPr>
        <w:t>The Company estimated the fair value of the market-based PBRSUs award on the grant date using the Monte Carlo simulation model with the following assumptions:</w:t>
      </w:r>
    </w:p>
    <w:p>
      <w:pPr>
        <w:pStyle w:val="TextBody"/>
        <w:bidi w:val="0"/>
        <w:jc w:val="left"/>
        <w:rPr/>
      </w:pPr>
      <w:r>
        <w:rPr/>
        <w:t> </w:t>
      </w:r>
    </w:p>
    <w:tbl>
      <w:tblPr>
        <w:tblW w:w="2820" w:type="dxa"/>
        <w:jc w:val="left"/>
        <w:tblInd w:w="0" w:type="dxa"/>
        <w:tblLayout w:type="fixed"/>
        <w:tblCellMar>
          <w:top w:w="28" w:type="dxa"/>
          <w:left w:w="28" w:type="dxa"/>
          <w:bottom w:w="28" w:type="dxa"/>
          <w:right w:w="28" w:type="dxa"/>
        </w:tblCellMar>
      </w:tblPr>
      <w:tblGrid>
        <w:gridCol w:w="1666"/>
        <w:gridCol w:w="146"/>
        <w:gridCol w:w="196"/>
        <w:gridCol w:w="511"/>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0.7</w:t>
            </w:r>
            <w:r>
              <w:rPr>
                <w:rFonts w:ascii="Times New Roman" w:hAnsi="Times New Roman"/>
                <w:color w:val="000000"/>
                <w:sz w:val="20"/>
              </w:rPr>
              <w:t> </w:t>
            </w:r>
            <w:r>
              <w:rPr>
                <w:rFonts w:ascii="Times New Roman" w:hAnsi="Times New Roman"/>
                <w:color w:val="000000"/>
                <w:sz w:val="18"/>
              </w:rPr>
              <w:t>- 4.7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18"/>
        </w:rPr>
        <w:t>As of June 30, 2026, the total unrecognized compensation expense related to the market-based PBRSUs was $15.6</w:t>
      </w:r>
      <w:r>
        <w:rPr>
          <w:rFonts w:ascii="Times New Roman" w:hAnsi="Times New Roman"/>
          <w:color w:val="231F20"/>
          <w:sz w:val="20"/>
        </w:rPr>
        <w:t xml:space="preserve"> </w:t>
      </w:r>
      <w:r>
        <w:rPr>
          <w:rFonts w:ascii="Times New Roman" w:hAnsi="Times New Roman"/>
          <w:color w:val="231F20"/>
          <w:sz w:val="18"/>
        </w:rPr>
        <w:t>million, which is expected to be amortized over a weighted-average period of 1.1</w:t>
      </w:r>
      <w:r>
        <w:rPr>
          <w:rFonts w:ascii="Times New Roman" w:hAnsi="Times New Roman"/>
          <w:color w:val="231F20"/>
          <w:sz w:val="20"/>
        </w:rPr>
        <w:t xml:space="preserve"> </w:t>
      </w:r>
      <w:r>
        <w:rPr>
          <w:rFonts w:ascii="Times New Roman" w:hAnsi="Times New Roman"/>
          <w:color w:val="231F20"/>
          <w:sz w:val="18"/>
        </w:rPr>
        <w:t>years.</w:t>
      </w:r>
    </w:p>
    <w:p>
      <w:pPr>
        <w:pStyle w:val="TextBody"/>
        <w:bidi w:val="0"/>
        <w:jc w:val="left"/>
        <w:rPr/>
      </w:pPr>
      <w:r>
        <w:rPr/>
        <w:t> </w:t>
      </w:r>
    </w:p>
    <w:p>
      <w:pPr>
        <w:pStyle w:val="TextBody"/>
        <w:bidi w:val="0"/>
        <w:jc w:val="left"/>
        <w:rPr>
          <w:rFonts w:ascii="Times New Roman" w:hAnsi="Times New Roman"/>
          <w:color w:val="000000"/>
          <w:sz w:val="18"/>
        </w:rPr>
      </w:pPr>
      <w:bookmarkStart w:id="11" w:name="bkmk_658"/>
      <w:bookmarkEnd w:id="11"/>
      <w:r>
        <w:rPr>
          <w:rFonts w:ascii="Times New Roman" w:hAnsi="Times New Roman"/>
          <w:color w:val="000000"/>
          <w:sz w:val="18"/>
        </w:rPr>
        <w:t>The following table summarizes the Company's RSU activity (excluding PBRSUs) for the six months ended June 30, 2026:</w:t>
      </w:r>
    </w:p>
    <w:p>
      <w:pPr>
        <w:pStyle w:val="TextBody"/>
        <w:bidi w:val="0"/>
        <w:jc w:val="left"/>
        <w:rPr/>
      </w:pPr>
      <w:r>
        <w:rPr/>
        <w:t> </w:t>
      </w:r>
    </w:p>
    <w:tbl>
      <w:tblPr>
        <w:tblW w:w="6017" w:type="dxa"/>
        <w:jc w:val="left"/>
        <w:tblInd w:w="0" w:type="dxa"/>
        <w:tblLayout w:type="fixed"/>
        <w:tblCellMar>
          <w:top w:w="28" w:type="dxa"/>
          <w:left w:w="28" w:type="dxa"/>
          <w:bottom w:w="28" w:type="dxa"/>
          <w:right w:w="28" w:type="dxa"/>
        </w:tblCellMar>
      </w:tblPr>
      <w:tblGrid>
        <w:gridCol w:w="2821"/>
        <w:gridCol w:w="146"/>
        <w:gridCol w:w="146"/>
        <w:gridCol w:w="886"/>
        <w:gridCol w:w="166"/>
        <w:gridCol w:w="146"/>
        <w:gridCol w:w="420"/>
        <w:gridCol w:w="1095"/>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w:t>
              <w:br/>
              <w:t>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7,286,827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June 30, 2026, the Company had $61.5</w:t>
      </w:r>
      <w:r>
        <w:rPr>
          <w:rFonts w:ascii="Times New Roman" w:hAnsi="Times New Roman"/>
          <w:color w:val="000000"/>
          <w:sz w:val="20"/>
        </w:rPr>
        <w:t xml:space="preserve"> </w:t>
      </w:r>
      <w:r>
        <w:rPr>
          <w:rFonts w:ascii="Times New Roman" w:hAnsi="Times New Roman"/>
          <w:color w:val="000000"/>
          <w:sz w:val="18"/>
        </w:rPr>
        <w:t>million of unrecognized stock-based compensation expense related to the RSUs. This cost is expected to be recognized over a weighted-average period of 2.5</w:t>
      </w:r>
      <w:r>
        <w:rPr>
          <w:rFonts w:ascii="Times New Roman" w:hAnsi="Times New Roman"/>
          <w:color w:val="000000"/>
          <w:sz w:val="20"/>
        </w:rPr>
        <w:t xml:space="preserve"> </w:t>
      </w:r>
      <w:r>
        <w:rPr>
          <w:rFonts w:ascii="Times New Roman" w:hAnsi="Times New Roman"/>
          <w:color w:val="000000"/>
          <w:sz w:val="18"/>
        </w:rPr>
        <w:t>years.</w:t>
      </w:r>
      <w:r>
        <w:rPr>
          <w:rFonts w:ascii="Times New Roman" w:hAnsi="Times New Roman"/>
          <w:color w:val="000000"/>
          <w:sz w:val="20"/>
        </w:rPr>
        <w:t xml:space="preserve"> </w:t>
      </w:r>
    </w:p>
    <w:p>
      <w:pPr>
        <w:pStyle w:val="TextBody"/>
        <w:bidi w:val="0"/>
        <w:spacing w:before="220" w:after="283"/>
        <w:jc w:val="left"/>
        <w:rPr>
          <w:rFonts w:ascii="Times New Roman" w:hAnsi="Times New Roman"/>
          <w:i/>
          <w:color w:val="000000"/>
          <w:sz w:val="18"/>
        </w:rPr>
      </w:pPr>
      <w:r>
        <w:rPr>
          <w:rFonts w:ascii="Times New Roman" w:hAnsi="Times New Roman"/>
          <w:i/>
          <w:color w:val="000000"/>
          <w:sz w:val="18"/>
        </w:rPr>
        <w:t>Compensation expense</w:t>
      </w:r>
    </w:p>
    <w:p>
      <w:pPr>
        <w:pStyle w:val="TextBody"/>
        <w:bidi w:val="0"/>
        <w:spacing w:before="144" w:after="283"/>
        <w:jc w:val="left"/>
        <w:rPr>
          <w:rFonts w:ascii="Times New Roman" w:hAnsi="Times New Roman"/>
          <w:color w:val="000000"/>
          <w:sz w:val="18"/>
        </w:rPr>
      </w:pPr>
      <w:bookmarkStart w:id="12" w:name="bkmk_659"/>
      <w:bookmarkEnd w:id="12"/>
      <w:r>
        <w:rPr>
          <w:rFonts w:ascii="Times New Roman" w:hAnsi="Times New Roman"/>
          <w:color w:val="000000"/>
          <w:sz w:val="18"/>
        </w:rPr>
        <w:t>Total stock-based compensation expense by function was as follows (in thousands):</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2701"/>
        <w:gridCol w:w="146"/>
        <w:gridCol w:w="281"/>
        <w:gridCol w:w="732"/>
        <w:gridCol w:w="209"/>
        <w:gridCol w:w="209"/>
        <w:gridCol w:w="281"/>
        <w:gridCol w:w="732"/>
        <w:gridCol w:w="146"/>
        <w:gridCol w:w="146"/>
        <w:gridCol w:w="232"/>
        <w:gridCol w:w="712"/>
        <w:gridCol w:w="173"/>
        <w:gridCol w:w="173"/>
        <w:gridCol w:w="232"/>
        <w:gridCol w:w="71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8,513</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b/>
          <w:color w:val="000000"/>
          <w:sz w:val="18"/>
        </w:rPr>
        <w:t>Note 14. 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There has historically been no federal or state provision for income taxes because the Company has historically incurred operating losses and maintains a full valuation allowance against its net deferred tax assets. For the three and six months ended June 30, 2026, the Company recognized a $58</w:t>
      </w:r>
      <w:r>
        <w:rPr>
          <w:rFonts w:ascii="Times New Roman" w:hAnsi="Times New Roman"/>
          <w:color w:val="000000"/>
          <w:sz w:val="20"/>
        </w:rPr>
        <w:t xml:space="preserve"> </w:t>
      </w:r>
      <w:r>
        <w:rPr>
          <w:rFonts w:ascii="Times New Roman" w:hAnsi="Times New Roman"/>
          <w:color w:val="000000"/>
          <w:sz w:val="18"/>
        </w:rPr>
        <w:t>thousand and $90</w:t>
      </w:r>
      <w:r>
        <w:rPr>
          <w:rFonts w:ascii="Times New Roman" w:hAnsi="Times New Roman"/>
          <w:color w:val="000000"/>
          <w:sz w:val="20"/>
        </w:rPr>
        <w:t xml:space="preserve"> </w:t>
      </w:r>
      <w:r>
        <w:rPr>
          <w:rFonts w:ascii="Times New Roman" w:hAnsi="Times New Roman"/>
          <w:color w:val="000000"/>
          <w:sz w:val="18"/>
        </w:rPr>
        <w:t>thousand provision for income taxes related to foreign operations, respectively.</w:t>
      </w:r>
    </w:p>
    <w:p>
      <w:pPr>
        <w:pStyle w:val="TextBody"/>
        <w:bidi w:val="0"/>
        <w:spacing w:before="180" w:after="283"/>
        <w:jc w:val="left"/>
        <w:rPr>
          <w:rFonts w:ascii="Times New Roman" w:hAnsi="Times New Roman"/>
          <w:sz w:val="20"/>
        </w:rPr>
      </w:pPr>
      <w:r>
        <w:rPr>
          <w:rFonts w:ascii="Times New Roman" w:hAnsi="Times New Roman"/>
          <w:color w:val="000000"/>
          <w:sz w:val="18"/>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The Company has completed an analysis as of December 31, 2025 and does not expect any net operating loss carryforwards or tax credit carryforwards to expire due to a limitation.</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Note 15. Commitments and Contingencies</w:t>
      </w:r>
    </w:p>
    <w:p>
      <w:pPr>
        <w:pStyle w:val="TextBody"/>
        <w:bidi w:val="0"/>
        <w:spacing w:before="140" w:after="283"/>
        <w:jc w:val="left"/>
        <w:rPr>
          <w:rFonts w:ascii="Times New Roman" w:hAnsi="Times New Roman"/>
          <w:b/>
          <w:i/>
          <w:color w:val="000000"/>
          <w:sz w:val="18"/>
        </w:rPr>
      </w:pPr>
      <w:r>
        <w:rPr>
          <w:rFonts w:ascii="Times New Roman" w:hAnsi="Times New Roman"/>
          <w:b/>
          <w:i/>
          <w:color w:val="000000"/>
          <w:sz w:val="18"/>
        </w:rPr>
        <w:t>Leases</w:t>
      </w:r>
    </w:p>
    <w:p>
      <w:pPr>
        <w:pStyle w:val="TextBody"/>
        <w:bidi w:val="0"/>
        <w:spacing w:before="180" w:after="283"/>
        <w:jc w:val="left"/>
        <w:rPr>
          <w:rFonts w:ascii="Times New Roman" w:hAnsi="Times New Roman"/>
          <w:sz w:val="20"/>
        </w:rPr>
      </w:pPr>
      <w:r>
        <w:rPr>
          <w:rFonts w:ascii="Times New Roman" w:hAnsi="Times New Roman"/>
          <w:color w:val="000000"/>
          <w:sz w:val="18"/>
        </w:rPr>
        <w:t>The weighted-average remaining lease terms were 2.7</w:t>
      </w:r>
      <w:r>
        <w:rPr>
          <w:rFonts w:ascii="Times New Roman" w:hAnsi="Times New Roman"/>
          <w:color w:val="000000"/>
          <w:sz w:val="20"/>
        </w:rPr>
        <w:t xml:space="preserve"> </w:t>
      </w:r>
      <w:r>
        <w:rPr>
          <w:rFonts w:ascii="Times New Roman" w:hAnsi="Times New Roman"/>
          <w:color w:val="000000"/>
          <w:sz w:val="18"/>
        </w:rPr>
        <w:t>years as of June 30, 2026 and December 31, 2025, respectively. The weighted-average discount rate was 8.50% as of June 30, 2026 and as of December 31, 2025, respectively. Operating lease cost for the three months ended June 30, 2026, and 2025, was $0.8</w:t>
      </w:r>
      <w:r>
        <w:rPr>
          <w:rFonts w:ascii="Times New Roman" w:hAnsi="Times New Roman"/>
          <w:color w:val="000000"/>
          <w:sz w:val="20"/>
        </w:rPr>
        <w:t xml:space="preserve"> </w:t>
      </w:r>
      <w:r>
        <w:rPr>
          <w:rFonts w:ascii="Times New Roman" w:hAnsi="Times New Roman"/>
          <w:color w:val="000000"/>
          <w:sz w:val="18"/>
        </w:rPr>
        <w:t>million and $1.1</w:t>
      </w:r>
      <w:r>
        <w:rPr>
          <w:rFonts w:ascii="Times New Roman" w:hAnsi="Times New Roman"/>
          <w:color w:val="000000"/>
          <w:sz w:val="20"/>
        </w:rPr>
        <w:t xml:space="preserve"> </w:t>
      </w:r>
      <w:r>
        <w:rPr>
          <w:rFonts w:ascii="Times New Roman" w:hAnsi="Times New Roman"/>
          <w:color w:val="000000"/>
          <w:sz w:val="18"/>
        </w:rPr>
        <w:t>million, respectively. Operating lease cost for the six months ended June 30, 2026, and 2025, was $1.6</w:t>
      </w:r>
      <w:r>
        <w:rPr>
          <w:rFonts w:ascii="Times New Roman" w:hAnsi="Times New Roman"/>
          <w:color w:val="000000"/>
          <w:sz w:val="20"/>
        </w:rPr>
        <w:t xml:space="preserve"> </w:t>
      </w:r>
      <w:r>
        <w:rPr>
          <w:rFonts w:ascii="Times New Roman" w:hAnsi="Times New Roman"/>
          <w:color w:val="000000"/>
          <w:sz w:val="18"/>
        </w:rPr>
        <w:t>million and $2.1</w:t>
      </w:r>
      <w:r>
        <w:rPr>
          <w:rFonts w:ascii="Times New Roman" w:hAnsi="Times New Roman"/>
          <w:color w:val="000000"/>
          <w:sz w:val="20"/>
        </w:rPr>
        <w:t xml:space="preserve"> </w:t>
      </w:r>
      <w:r>
        <w:rPr>
          <w:rFonts w:ascii="Times New Roman" w:hAnsi="Times New Roman"/>
          <w:color w:val="000000"/>
          <w:sz w:val="18"/>
        </w:rPr>
        <w:t>million, respectively.</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18"/>
        </w:rPr>
      </w:pPr>
      <w:bookmarkStart w:id="13" w:name="bkmk_661"/>
      <w:bookmarkEnd w:id="13"/>
      <w:r>
        <w:rPr>
          <w:rFonts w:ascii="Times New Roman" w:hAnsi="Times New Roman"/>
          <w:color w:val="000000"/>
          <w:sz w:val="18"/>
        </w:rPr>
        <w:t>The following is a maturity analysis of the annual undiscounted cash flows reconciled to the carrying value of the operating lease liabilities as of June 30, 2026 (in thousands):</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2311"/>
        <w:gridCol w:w="146"/>
        <w:gridCol w:w="398"/>
        <w:gridCol w:w="1042"/>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Litigation</w:t>
      </w:r>
    </w:p>
    <w:p>
      <w:pPr>
        <w:pStyle w:val="TextBody"/>
        <w:bidi w:val="0"/>
        <w:spacing w:before="180" w:after="283"/>
        <w:jc w:val="left"/>
        <w:rPr>
          <w:rFonts w:ascii="Times New Roman" w:hAnsi="Times New Roman"/>
          <w:sz w:val="20"/>
        </w:rPr>
      </w:pPr>
      <w:r>
        <w:rPr>
          <w:rFonts w:ascii="Times New Roman" w:hAnsi="Times New Roman"/>
          <w:color w:val="000000"/>
          <w:sz w:val="18"/>
        </w:rPr>
        <w:t>From time to time, the Company is involved in actions, claims, suits, and other proceedings in the ordinary course of business, including assertions by third parties relating to intellectual property infringement, breaches of contract or warranties, or employment-related matters. When it is both probable that a liability has been incurred and the amount of the loss can be reasonably estimated, the Company records a liability for such loss contingencies. The Company’s estimates regarding potential losses and materiality are based on the Company’s judgment and assessment of the claims utilizing currently available information. Although the Company will continue to reassess its reserves and estimates based on future developments, the Company’s objective assessment of the legal merits of such claims may not always be predictive of the outcome and actual results may vary from the Company’s current estimates.</w:t>
      </w:r>
      <w:r>
        <w:rPr>
          <w:rFonts w:ascii="Times New Roman" w:hAnsi="Times New Roman"/>
          <w:color w:val="000000"/>
          <w:sz w:val="20"/>
        </w:rPr>
        <w:t xml:space="preserve"> </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Indemnifications</w:t>
      </w:r>
    </w:p>
    <w:p>
      <w:pPr>
        <w:pStyle w:val="TextBody"/>
        <w:bidi w:val="0"/>
        <w:spacing w:before="144" w:after="283"/>
        <w:jc w:val="left"/>
        <w:rPr>
          <w:rFonts w:ascii="Times New Roman" w:hAnsi="Times New Roman"/>
          <w:sz w:val="20"/>
        </w:rPr>
      </w:pPr>
      <w:r>
        <w:rPr>
          <w:rFonts w:ascii="Times New Roman" w:hAnsi="Times New Roman"/>
          <w:color w:val="000000"/>
          <w:sz w:val="18"/>
        </w:rPr>
        <w:t>In the ordinary course of business, the Company is not subject to potential obligations under guarantees that fall within the scope of FASB ASC</w:t>
      </w:r>
      <w:r>
        <w:rPr>
          <w:rFonts w:ascii="Times New Roman" w:hAnsi="Times New Roman"/>
          <w:color w:val="000000"/>
          <w:sz w:val="20"/>
        </w:rPr>
        <w:t xml:space="preserve"> </w:t>
      </w:r>
      <w:r>
        <w:rPr>
          <w:rFonts w:ascii="Times New Roman" w:hAnsi="Times New Roman"/>
          <w:i/>
          <w:color w:val="000000"/>
          <w:sz w:val="18"/>
        </w:rPr>
        <w:t>Guarantees (Topic 460)</w:t>
      </w:r>
      <w:r>
        <w:rPr>
          <w:rFonts w:ascii="Times New Roman" w:hAnsi="Times New Roman"/>
          <w:color w:val="000000"/>
          <w:sz w:val="18"/>
        </w:rPr>
        <w:t>, except for standard indemnification provisions that are contained within many of the Company’s customer agreements and give rise only to disclosure requirements prescribed by Topic 460. Indemnification provisions contained within the Company’s customer agreements are generally consistent with those prevalent in the Company’s industry. The Company has not incurred any obligations under customer indemnification provisions and does not expect to incur significant obligations in the future. Accordingly, the Company does not maintain accruals for potential customer indemnification obligations.</w:t>
      </w:r>
    </w:p>
    <w:p>
      <w:pPr>
        <w:pStyle w:val="TextBody"/>
        <w:bidi w:val="0"/>
        <w:spacing w:before="220" w:after="140"/>
        <w:jc w:val="left"/>
        <w:rPr>
          <w:rFonts w:ascii="Times New Roman" w:hAnsi="Times New Roman"/>
          <w:b/>
          <w:color w:val="000000"/>
          <w:sz w:val="18"/>
        </w:rPr>
      </w:pPr>
      <w:r>
        <w:rPr>
          <w:rFonts w:ascii="Times New Roman" w:hAnsi="Times New Roman"/>
          <w:b/>
          <w:color w:val="000000"/>
          <w:sz w:val="18"/>
        </w:rPr>
        <w:t>Note 16. Segment Information</w:t>
      </w:r>
    </w:p>
    <w:p>
      <w:pPr>
        <w:pStyle w:val="TextBody"/>
        <w:bidi w:val="0"/>
        <w:spacing w:before="0" w:after="180"/>
        <w:jc w:val="left"/>
        <w:rPr>
          <w:rFonts w:ascii="Times New Roman" w:hAnsi="Times New Roman"/>
          <w:sz w:val="20"/>
        </w:rPr>
      </w:pPr>
      <w:r>
        <w:rPr>
          <w:rFonts w:ascii="Times New Roman" w:hAnsi="Times New Roman"/>
          <w:color w:val="000000"/>
          <w:sz w:val="18"/>
        </w:rPr>
        <w:t>The Company operates as one</w:t>
      </w:r>
      <w:r>
        <w:rPr>
          <w:rFonts w:ascii="Times New Roman" w:hAnsi="Times New Roman"/>
          <w:color w:val="000000"/>
          <w:sz w:val="20"/>
        </w:rPr>
        <w:t xml:space="preserve"> </w:t>
      </w:r>
      <w:r>
        <w:rPr>
          <w:rFonts w:ascii="Times New Roman" w:hAnsi="Times New Roman"/>
          <w:color w:val="000000"/>
          <w:sz w:val="18"/>
        </w:rPr>
        <w:t>operating segment. Operating segments are defined as components of an enterprise for which separate financial information is evaluated regularly by the chief operating decision-maker (“CODM”), consisting of the Company’s chief executive officer and the Company’s chief technology officer as a group, in deciding how to allocate resources and assess the Company’s financial and operational performance. In addition, the Company’s CODM evaluates the Company’s financial information and resources and assesses the performance of these resources on a consolidated basis. As a result, the Company has determined that the Company’s business operates in a single operating segment. The CODM uses net loss as the measure of profit and loss to allocate resources and assess performance. The CODM regularly reviews net loss as reported on the Company's condensed consolidated statements of operations and comprehensive loss. Financial forecasts and budget to actual results used by the CODM to assess performance and allocate resources, as well as those used for strategic decisions related to headcount and capital expenditures are also reviewed on a consolidated basis. The CODM considers the impact of the significant segment expenses in the table below on net loss.</w:t>
      </w:r>
    </w:p>
    <w:p>
      <w:pPr>
        <w:pStyle w:val="TextBody"/>
        <w:bidi w:val="0"/>
        <w:spacing w:before="0" w:after="180"/>
        <w:jc w:val="left"/>
        <w:rPr>
          <w:rFonts w:ascii="Times New Roman" w:hAnsi="Times New Roman"/>
          <w:color w:val="000000"/>
          <w:sz w:val="18"/>
        </w:rPr>
      </w:pPr>
      <w:r>
        <w:rPr>
          <w:rFonts w:ascii="Times New Roman" w:hAnsi="Times New Roman"/>
          <w:color w:val="000000"/>
          <w:sz w:val="18"/>
        </w:rPr>
        <w:t>The measure of segment assets is reported on the condensed consolidated balance sheet as total assets. The CODM does not review segment assets at a level other than as presented in the Company's condensed consolidated balance sheets.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16" w:after="283"/>
        <w:jc w:val="center"/>
        <w:rPr/>
      </w:pPr>
      <w:r>
        <w:rPr/>
        <w:t> </w:t>
      </w:r>
    </w:p>
    <w:p>
      <w:pPr>
        <w:pStyle w:val="TextBody"/>
        <w:bidi w:val="0"/>
        <w:spacing w:before="0" w:after="180"/>
        <w:jc w:val="left"/>
        <w:rPr>
          <w:rFonts w:ascii="Times New Roman" w:hAnsi="Times New Roman"/>
          <w:color w:val="000000"/>
          <w:sz w:val="18"/>
        </w:rPr>
      </w:pPr>
      <w:r>
        <w:rPr>
          <w:rFonts w:ascii="Times New Roman" w:hAnsi="Times New Roman"/>
          <w:color w:val="000000"/>
          <w:sz w:val="18"/>
        </w:rPr>
        <w:t>The table below presents the Company's consolidated operating results including segment expenses (in thousands):</w:t>
      </w:r>
    </w:p>
    <w:tbl>
      <w:tblPr>
        <w:tblW w:w="9616" w:type="dxa"/>
        <w:jc w:val="left"/>
        <w:tblInd w:w="0" w:type="dxa"/>
        <w:tblLayout w:type="fixed"/>
        <w:tblCellMar>
          <w:top w:w="28" w:type="dxa"/>
          <w:left w:w="28" w:type="dxa"/>
          <w:bottom w:w="28" w:type="dxa"/>
          <w:right w:w="28" w:type="dxa"/>
        </w:tblCellMar>
      </w:tblPr>
      <w:tblGrid>
        <w:gridCol w:w="3891"/>
        <w:gridCol w:w="146"/>
        <w:gridCol w:w="226"/>
        <w:gridCol w:w="764"/>
        <w:gridCol w:w="191"/>
        <w:gridCol w:w="168"/>
        <w:gridCol w:w="226"/>
        <w:gridCol w:w="868"/>
        <w:gridCol w:w="166"/>
        <w:gridCol w:w="146"/>
        <w:gridCol w:w="198"/>
        <w:gridCol w:w="761"/>
        <w:gridCol w:w="168"/>
        <w:gridCol w:w="147"/>
        <w:gridCol w:w="198"/>
        <w:gridCol w:w="761"/>
        <w:gridCol w:w="59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(excluding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 (excluding 1 and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joint development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 (excluding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 (excluding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 expenses (excluding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loss on share subscription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(114,603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20" w:after="140"/>
        <w:jc w:val="left"/>
        <w:rPr>
          <w:rFonts w:ascii="Times New Roman" w:hAnsi="Times New Roman"/>
          <w:i/>
          <w:color w:val="000000"/>
          <w:sz w:val="18"/>
        </w:rPr>
      </w:pPr>
      <w:r>
        <w:rPr>
          <w:rFonts w:ascii="Times New Roman" w:hAnsi="Times New Roman"/>
          <w:i/>
          <w:color w:val="000000"/>
          <w:sz w:val="18"/>
        </w:rPr>
        <w:t>Revenues from External Customers</w:t>
      </w:r>
    </w:p>
    <w:p>
      <w:pPr>
        <w:pStyle w:val="TextBody"/>
        <w:bidi w:val="0"/>
        <w:spacing w:before="80" w:after="180"/>
        <w:jc w:val="left"/>
        <w:rPr>
          <w:rFonts w:ascii="Times New Roman" w:hAnsi="Times New Roman"/>
          <w:color w:val="000000"/>
          <w:sz w:val="18"/>
        </w:rPr>
      </w:pPr>
      <w:r>
        <w:rPr>
          <w:rFonts w:ascii="Times New Roman" w:hAnsi="Times New Roman"/>
          <w:color w:val="000000"/>
          <w:sz w:val="18"/>
        </w:rPr>
        <w:t>Revenue from customers outside the United States was 44% and 15% of total revenue for the three months ended June 30, 2026 and June 30, 2025, respectively. Revenue from customers outside the United States were 55% and 11% of total revenues for the six months ended June 30, 2026 and June 30, 2025 respectively.</w:t>
      </w:r>
    </w:p>
    <w:p>
      <w:pPr>
        <w:pStyle w:val="TextBody"/>
        <w:bidi w:val="0"/>
        <w:spacing w:before="40" w:after="140"/>
        <w:jc w:val="left"/>
        <w:rPr>
          <w:rFonts w:ascii="Times New Roman" w:hAnsi="Times New Roman"/>
          <w:i/>
          <w:color w:val="000000"/>
          <w:sz w:val="18"/>
        </w:rPr>
      </w:pPr>
      <w:r>
        <w:rPr>
          <w:rFonts w:ascii="Times New Roman" w:hAnsi="Times New Roman"/>
          <w:i/>
          <w:color w:val="000000"/>
          <w:sz w:val="18"/>
        </w:rPr>
        <w:t>Long-Lived Assets</w:t>
      </w:r>
    </w:p>
    <w:p>
      <w:pPr>
        <w:pStyle w:val="TextBody"/>
        <w:bidi w:val="0"/>
        <w:spacing w:before="80" w:after="140"/>
        <w:jc w:val="left"/>
        <w:rPr>
          <w:rFonts w:ascii="Times New Roman" w:hAnsi="Times New Roman"/>
          <w:color w:val="000000"/>
          <w:sz w:val="18"/>
        </w:rPr>
      </w:pPr>
      <w:r>
        <w:rPr>
          <w:rFonts w:ascii="Times New Roman" w:hAnsi="Times New Roman"/>
          <w:color w:val="000000"/>
          <w:sz w:val="18"/>
        </w:rPr>
        <w:t>The following table sets forth the Company’s property, plant, and equipment, net by geographic region (in thousands):</w:t>
      </w:r>
    </w:p>
    <w:tbl>
      <w:tblPr>
        <w:tblW w:w="3952" w:type="dxa"/>
        <w:jc w:val="left"/>
        <w:tblInd w:w="0" w:type="dxa"/>
        <w:tblLayout w:type="fixed"/>
        <w:tblCellMar>
          <w:top w:w="28" w:type="dxa"/>
          <w:left w:w="28" w:type="dxa"/>
          <w:bottom w:w="28" w:type="dxa"/>
          <w:right w:w="28" w:type="dxa"/>
        </w:tblCellMar>
      </w:tblPr>
      <w:tblGrid>
        <w:gridCol w:w="1186"/>
        <w:gridCol w:w="146"/>
        <w:gridCol w:w="196"/>
        <w:gridCol w:w="601"/>
        <w:gridCol w:w="146"/>
        <w:gridCol w:w="146"/>
        <w:gridCol w:w="280"/>
        <w:gridCol w:w="860"/>
        <w:gridCol w:w="39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20" w:after="140"/>
        <w:jc w:val="left"/>
        <w:rPr/>
      </w:pPr>
      <w:r>
        <w:rPr/>
        <w:t> </w:t>
      </w:r>
    </w:p>
    <w:p>
      <w:pPr>
        <w:pStyle w:val="TextBody"/>
        <w:bidi w:val="0"/>
        <w:spacing w:before="80" w:after="180"/>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22</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jc w:val="left"/>
        <w:rPr>
          <w:rFonts w:ascii="Times New Roman" w:hAnsi="Times New Roman"/>
          <w:b/>
          <w:color w:val="000000"/>
          <w:sz w:val="18"/>
        </w:rPr>
      </w:pPr>
      <w:bookmarkStart w:id="14" w:name="item_2_mda"/>
      <w:bookmarkEnd w:id="14"/>
      <w:r>
        <w:rPr>
          <w:rFonts w:ascii="Times New Roman" w:hAnsi="Times New Roman"/>
          <w:b/>
          <w:color w:val="000000"/>
          <w:sz w:val="18"/>
        </w:rPr>
        <w:t>Item 2. Management’s Discussion and Analysis of Financial Condition and Results of Operations.</w:t>
      </w:r>
    </w:p>
    <w:p>
      <w:pPr>
        <w:pStyle w:val="TextBody"/>
        <w:bidi w:val="0"/>
        <w:spacing w:before="144" w:after="283"/>
        <w:jc w:val="left"/>
        <w:rPr>
          <w:rFonts w:ascii="Times New Roman" w:hAnsi="Times New Roman"/>
          <w:i/>
          <w:color w:val="000000"/>
          <w:sz w:val="18"/>
        </w:rPr>
      </w:pPr>
      <w:r>
        <w:rPr>
          <w:rFonts w:ascii="Times New Roman" w:hAnsi="Times New Roman"/>
          <w:i/>
          <w:color w:val="000000"/>
          <w:sz w:val="18"/>
        </w:rPr>
        <w:t>The following discussion of Aeva’s results of operations and financial condition should be read in conjunction with the information set forth in the unaudited condensed consolidated financial statements and the notes thereto included elsewhere in this Quarterly Report on Form 10-Q. This discussion may contain forward-looking statements based upon Aeva’s current expectations, estimates, and projections that involve risks and uncertainties. Actual results could differ materially from those anticipated in these forward-looking statements due to, among other considerations, the matters discussed in Part I, Item 1A of our Annual Report on Form 10-K for the year ended December 31, 2025 (the “2025 Form 10-K”) under the heading “Risk Factors” and “Special Note Regarding Forward-Looking Statements.” Unless the context otherwise requires, all references in this section to “we,” “our,” “us” “the Company” or “Aeva” refer to the business of Aeva Technologies, Inc., a Delaware corporation, and its subsidiaries.</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Overview</w:t>
      </w:r>
    </w:p>
    <w:p>
      <w:pPr>
        <w:pStyle w:val="TextBody"/>
        <w:bidi w:val="0"/>
        <w:spacing w:before="144" w:after="283"/>
        <w:jc w:val="left"/>
        <w:rPr>
          <w:rFonts w:ascii="Times New Roman" w:hAnsi="Times New Roman"/>
          <w:sz w:val="20"/>
        </w:rPr>
      </w:pPr>
      <w:r>
        <w:rPr>
          <w:rFonts w:ascii="Times New Roman" w:hAnsi="Times New Roman"/>
          <w:color w:val="000000"/>
          <w:sz w:val="18"/>
        </w:rPr>
        <w:t>Our vision is to bring perception to broad applications. Through our Frequency Modulated Continuous Wave ("FMCW") sensing technology, we believe we are introducing the world’s first 4D LiDAR-on-chip that, along with our proprietary software applications, has the potential to enable the adoption of LIDAR across broad applications.</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color w:val="000000"/>
          <w:sz w:val="18"/>
        </w:rPr>
        <w:t>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to industrial automation, consumer device, and security applications. Our 4D LiDAR-on-chip combines silicon photonics technology that is proven in the telecom industry with precise instant velocity measurements and long-range performance for commercialization.</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color w:val="000000"/>
          <w:sz w:val="18"/>
        </w:rPr>
        <w:t>As a development stage company, we work closely with our customers on the development and commercialization of their programs and the utilization of our products in such programs. Thus far, typically our customers have purchased products and engineering services from us for use in research and development programs, pilot and evaluation programs. We are expanding our manufacturing capacity through third-party manufacturers to meet our customers’ anticipated demand for the production of our products.</w:t>
      </w:r>
      <w:r>
        <w:rPr>
          <w:rFonts w:ascii="Times New Roman" w:hAnsi="Times New Roman"/>
          <w:color w:val="000000"/>
          <w:sz w:val="20"/>
        </w:rPr>
        <w:t xml:space="preserve"> </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and sunlight, and our core innovations within FMCW are intended to enable autonomous vehicles to see at significantly higher distances of up to 500 meters.</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We believe Aeva is uniquely positioned to provide a superior solution with the potential to enable higher level of automation for vehicles. Furthermore, we believe the advantages of our 4D LiDAR-on-chip allow us to provide the first LiDAR solution that is fully integrated onto a chip with superior performance at scale, with the potential to drive new categories of perception across industrial automation, consumer devices, and security applications.</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Key Factors Affecting Aeva’s Operating Results</w:t>
      </w:r>
    </w:p>
    <w:p>
      <w:pPr>
        <w:pStyle w:val="TextBody"/>
        <w:bidi w:val="0"/>
        <w:spacing w:before="144" w:after="283"/>
        <w:jc w:val="left"/>
        <w:rPr>
          <w:rFonts w:ascii="Times New Roman" w:hAnsi="Times New Roman"/>
          <w:sz w:val="20"/>
        </w:rPr>
      </w:pPr>
      <w:r>
        <w:rPr>
          <w:rFonts w:ascii="Times New Roman" w:hAnsi="Times New Roman"/>
          <w:color w:val="000000"/>
          <w:sz w:val="18"/>
        </w:rPr>
        <w:t>We believe that Aeva's future performance and success depends to a substantial extent on our ability to capitalize opportunities, which in turn is subject to significant risks and challenges, including those discussed in Part I, Item 1A of the 2025 Form 10-K under the heading “Risk Factors.”</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i/>
          <w:color w:val="000000"/>
          <w:sz w:val="18"/>
        </w:rPr>
        <w:t>Pricing, Product Cost and Margins.</w:t>
      </w:r>
      <w:r>
        <w:rPr>
          <w:rFonts w:ascii="Times New Roman" w:hAnsi="Times New Roman"/>
          <w:color w:val="000000"/>
          <w:sz w:val="20"/>
        </w:rPr>
        <w:t xml:space="preserve"> </w:t>
      </w:r>
      <w:r>
        <w:rPr>
          <w:rFonts w:ascii="Times New Roman" w:hAnsi="Times New Roman"/>
          <w:color w:val="000000"/>
          <w:sz w:val="18"/>
        </w:rPr>
        <w:t>Our pricing and margins will depend on the volumes and the features, as well as specific market applications of the solutions we provide to our customers. We have customers with technologies in various stages of development across different market segments. We anticipate that our prices will vary by market and application due to market-specific product and commercial requirements, supply and demand dynamics and product lifecycles.</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color w:val="000000"/>
          <w:sz w:val="18"/>
        </w:rPr>
        <w:t>Our future performance will depend on our ability to deliver on economies of scale. Our customers will require that our perception solutions be manufactured and sold at per-unit prices that are competitive. Our ability to compete in key markets will depend on the success of our efforts to efficiently and reliably produce cost-effective perception solutions that are competitively priced and affordable for our commercial-stage customers.</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color w:val="000000"/>
          <w:sz w:val="18"/>
        </w:rPr>
        <w:t>Additionally, the macroeconomic conditions in the industry, the growing emergence of competition in advanced assisted driving sensing and software technologies globally can negatively impact pricing, margins and market share. Our business is impacted by various macroeconomic factors, including inflation, interest rates, levels of consumer confidence and consumer debt, fuel and energy costs, and other economic conditions. In addition, we are susceptible to supply chain disruptions, which may be exacerbated by changes to tariffs and trade policies. Given the nature of these macroeconomic factors, we cannot predict whether or for how long certain trends will continue, nor can we predict to what degree these trends will impact us in the future. If we do not generate the margins we expect upon commercialization of our perception solutions, we may be required to raise additional debt or equity capital, which may not be available or may only be available on terms that are onerous to Aeva’s stockholders.</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i/>
          <w:color w:val="000000"/>
          <w:sz w:val="18"/>
        </w:rPr>
        <w:t>Commercialization of LiDAR-based Applications.</w:t>
      </w:r>
      <w:r>
        <w:rPr>
          <w:rFonts w:ascii="Times New Roman" w:hAnsi="Times New Roman"/>
          <w:color w:val="000000"/>
          <w:sz w:val="20"/>
        </w:rPr>
        <w:t xml:space="preserve"> </w:t>
      </w:r>
      <w:r>
        <w:rPr>
          <w:rFonts w:ascii="Times New Roman" w:hAnsi="Times New Roman"/>
          <w:color w:val="000000"/>
          <w:sz w:val="18"/>
        </w:rPr>
        <w:t>We expect that our results of operations, including revenue and gross margins, will fluctuate on a quarterly basis for the foreseeable future as our customers continue on research and development projects and begin to commercialize advanced driver assist, autonomous and industrial automation solutions that rely on LiDAR technology. The development cycles of our products with new customers varies widely depending on the application, market, customer and the complexity of the product, and can vary from several months to years depending on the industry. These development cycles result in us investing our resources prior to realizing any revenue from the commercialization or obtaining any firm commitments of pricing, volume or timing of purchases of our products by our customers. As customers reach the commercialization phase and as the market for LiDAR solutions matures, these fluctuations in our operating results may become less pronounced.</w:t>
      </w:r>
      <w:r>
        <w:rPr>
          <w:rFonts w:ascii="Times New Roman" w:hAnsi="Times New Roman"/>
          <w:color w:val="000000"/>
          <w:sz w:val="20"/>
        </w:rPr>
        <w:t xml:space="preserve"> </w:t>
      </w:r>
    </w:p>
    <w:p>
      <w:pPr>
        <w:pStyle w:val="TextBody"/>
        <w:bidi w:val="0"/>
        <w:spacing w:before="144" w:after="283"/>
        <w:jc w:val="left"/>
        <w:rPr>
          <w:rFonts w:ascii="Times New Roman" w:hAnsi="Times New Roman"/>
          <w:sz w:val="20"/>
        </w:rPr>
      </w:pPr>
      <w:r>
        <w:rPr>
          <w:rFonts w:ascii="Times New Roman" w:hAnsi="Times New Roman"/>
          <w:i/>
          <w:color w:val="000000"/>
          <w:sz w:val="18"/>
        </w:rPr>
        <w:t>Sales Volume</w:t>
      </w:r>
      <w:r>
        <w:rPr>
          <w:rFonts w:ascii="Times New Roman" w:hAnsi="Times New Roman"/>
          <w:color w:val="000000"/>
          <w:sz w:val="18"/>
        </w:rPr>
        <w:t>. Each product program will have an expected range of sales volumes, depending on the end market demand for our customers’ products as well as market application. This can depend on several factors, including market penetration, product capabilities, size of the end market that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23</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44" w:after="283"/>
        <w:jc w:val="left"/>
        <w:rPr>
          <w:rFonts w:ascii="Times New Roman" w:hAnsi="Times New Roman"/>
          <w:sz w:val="20"/>
        </w:rPr>
      </w:pPr>
      <w:r>
        <w:rPr>
          <w:rFonts w:ascii="Times New Roman" w:hAnsi="Times New Roman"/>
          <w:color w:val="000000"/>
          <w:sz w:val="18"/>
        </w:rPr>
        <w:t>the product addresses and our end customers’ ability to sell their products. In addition to end market demand, sales volumes also depend on whether our customer is in the development or production phase. In certain cases, we may provide volume discounts or strategic customer pricing on sales of our solutions, which may or may not be offset by lower manufacturing costs related to higher volumes which in turn could adversely impact our gross margins. Our ability to ultimately achieve profitability is dependent upon progression of existing relationships to production and our ability to meet required volumes and required cost targets and gross margins. Delays in our current and future customers’ programs could result in us being unable to achieve our revenue targets and profitability in the time frame we anticipate. Such delays could result in us requiring to raise additional debt or equity capital, which may not be available or may only be available on terms that are onerous to Aeva’s stockholders.</w:t>
      </w:r>
      <w:r>
        <w:rPr>
          <w:rFonts w:ascii="Times New Roman" w:hAnsi="Times New Roman"/>
          <w:color w:val="000000"/>
          <w:sz w:val="20"/>
        </w:rPr>
        <w:t xml:space="preserve"> </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Basis of Presentation</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Our condensed consolidated financial statements include the accounts of our wholly owned subsidiaries. We currently conduct our business through one operating segment.</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Components of Results of Operations</w:t>
      </w:r>
    </w:p>
    <w:p>
      <w:pPr>
        <w:pStyle w:val="TextBody"/>
        <w:bidi w:val="0"/>
        <w:spacing w:before="14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Revenue consists of sales of perception solutions or sensing systems and non-recurring engineering services.</w:t>
      </w:r>
    </w:p>
    <w:p>
      <w:pPr>
        <w:pStyle w:val="TextBody"/>
        <w:bidi w:val="0"/>
        <w:spacing w:before="180" w:after="283"/>
        <w:jc w:val="left"/>
        <w:rPr>
          <w:rFonts w:ascii="Times New Roman" w:hAnsi="Times New Roman"/>
          <w:sz w:val="20"/>
        </w:rPr>
      </w:pPr>
      <w:r>
        <w:rPr>
          <w:rFonts w:ascii="Times New Roman" w:hAnsi="Times New Roman"/>
          <w:color w:val="000000"/>
          <w:sz w:val="18"/>
        </w:rPr>
        <w:t>Aeva is engaged in design, manufacturing and sale of LiDAR sensing systems and related perception and autonomy-enabling software solutions serving customers in automotive, industrial, and other markets. Under our customer agreements, Aeva delivers a specified number of sensing systems at a fixed price under customary terms and conditions. The sensing system units sold under these agreements are typically products that are used by the customer for its research, development, evaluation, pilot and testing purposes. We also enter into non-recurring engineering service arrangements with certain of our customers to customize Aeva’s perception solution to meet customer specific requirements.</w:t>
      </w:r>
      <w:r>
        <w:rPr>
          <w:rFonts w:ascii="Times New Roman" w:hAnsi="Times New Roman"/>
          <w:color w:val="000000"/>
          <w:sz w:val="20"/>
        </w:rPr>
        <w:t xml:space="preserve"> </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Cost of revenue and gross profit</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Cost of revenue principally includes direct material, direct labor and allocation of overhead associated with manufacturing operations, including inbound freight charges and depreciation expense. Cost of revenue also includes the direct cost and appropriate allocation of overhead involved in execution of non-recurring engineering services. Aeva’s gross profit equals total revenue less total cost of revenue.</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140" w:after="283"/>
        <w:jc w:val="left"/>
        <w:rPr>
          <w:rFonts w:ascii="Times New Roman" w:hAnsi="Times New Roman"/>
          <w:sz w:val="20"/>
        </w:rPr>
      </w:pPr>
      <w:r>
        <w:rPr>
          <w:rFonts w:ascii="Times New Roman" w:hAnsi="Times New Roman"/>
          <w:i/>
          <w:color w:val="000000"/>
          <w:sz w:val="18"/>
        </w:rPr>
        <w:t>Research and development expenses</w:t>
      </w:r>
      <w:r>
        <w:rPr>
          <w:rFonts w:ascii="Times New Roman" w:hAnsi="Times New Roman"/>
          <w:color w:val="000000"/>
          <w:sz w:val="20"/>
        </w:rPr>
        <w:t xml:space="preserve"> </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Aeva’s research and development efforts are focused on enhancing and developing additional functionality for our existing products and on new product development. Research and development expenses consist primarily of:</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 xml:space="preserve">Personnel-related expenses, including salaries, benefits, and stock-based compensation expense, for personnel in our research and engineering functions; and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Expenses related to materials, software licenses, supplies, and third-party services.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Aeva recognizes research and development expenses as incurred.</w:t>
      </w:r>
    </w:p>
    <w:p>
      <w:pPr>
        <w:pStyle w:val="TextBody"/>
        <w:bidi w:val="0"/>
        <w:spacing w:before="220" w:after="283"/>
        <w:jc w:val="left"/>
        <w:rPr>
          <w:rFonts w:ascii="Times New Roman" w:hAnsi="Times New Roman"/>
          <w:i/>
          <w:color w:val="000000"/>
          <w:sz w:val="18"/>
        </w:rPr>
      </w:pPr>
      <w:r>
        <w:rPr>
          <w:rFonts w:ascii="Times New Roman" w:hAnsi="Times New Roman"/>
          <w:i/>
          <w:color w:val="000000"/>
          <w:sz w:val="18"/>
        </w:rPr>
        <w:t>General and administrative expenses</w:t>
      </w:r>
    </w:p>
    <w:p>
      <w:pPr>
        <w:pStyle w:val="TextBody"/>
        <w:bidi w:val="0"/>
        <w:spacing w:before="140" w:after="283"/>
        <w:jc w:val="left"/>
        <w:rPr>
          <w:rFonts w:ascii="Times New Roman" w:hAnsi="Times New Roman"/>
          <w:sz w:val="20"/>
        </w:rPr>
      </w:pPr>
      <w:r>
        <w:rPr>
          <w:rFonts w:ascii="Times New Roman" w:hAnsi="Times New Roman"/>
          <w:color w:val="000000"/>
          <w:sz w:val="18"/>
        </w:rPr>
        <w:t>General and administrative expenses consist of personnel and personnel-related expenses, including salaries, benefits, and stock-based compensation expense of our executive, finance, information systems, human resources, and legal, as well as legal and accounting fees for professional and contract services.</w:t>
      </w:r>
      <w:r>
        <w:rPr>
          <w:rFonts w:ascii="Times New Roman" w:hAnsi="Times New Roman"/>
          <w:color w:val="000000"/>
          <w:sz w:val="20"/>
        </w:rPr>
        <w:t xml:space="preserve"> </w:t>
      </w:r>
    </w:p>
    <w:p>
      <w:pPr>
        <w:pStyle w:val="TextBody"/>
        <w:bidi w:val="0"/>
        <w:spacing w:before="220" w:after="283"/>
        <w:jc w:val="left"/>
        <w:rPr>
          <w:rFonts w:ascii="Times New Roman" w:hAnsi="Times New Roman"/>
          <w:i/>
          <w:color w:val="000000"/>
          <w:sz w:val="18"/>
        </w:rPr>
      </w:pPr>
      <w:r>
        <w:rPr>
          <w:rFonts w:ascii="Times New Roman" w:hAnsi="Times New Roman"/>
          <w:i/>
          <w:color w:val="000000"/>
          <w:sz w:val="18"/>
        </w:rPr>
        <w:t>Selling and marketing expenses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Selling and marketing expenses consist of personnel and personnel-related expenses, including salaries, benefits, and stock-based compensation expense of our business development team as well as advertising and marketing expenses. These include the cost of trade shows, promotional materials, and public relations.</w:t>
      </w:r>
    </w:p>
    <w:p>
      <w:pPr>
        <w:pStyle w:val="TextBody"/>
        <w:bidi w:val="0"/>
        <w:spacing w:before="220" w:after="283"/>
        <w:jc w:val="left"/>
        <w:rPr>
          <w:rFonts w:ascii="Times New Roman" w:hAnsi="Times New Roman"/>
          <w:sz w:val="20"/>
        </w:rPr>
      </w:pPr>
      <w:r>
        <w:rPr>
          <w:rFonts w:ascii="Times New Roman" w:hAnsi="Times New Roman"/>
          <w:b/>
          <w:i/>
          <w:color w:val="000000"/>
          <w:sz w:val="18"/>
        </w:rPr>
        <w:t>Interest income</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8"/>
        </w:rPr>
        <w:t>Interest income consists primarily of income earned on our cash equivalents and investments in marketable securities. Interest income varies based on our cash equivalents and marketable securities balance and changes in the interest rates.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b/>
          <w:i/>
          <w:color w:val="000000"/>
          <w:sz w:val="18"/>
        </w:rPr>
        <w:t>Fair value of warrant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Fair value of warrant liability consist of changes in the fair value of Series A warrants and fair value oft private placement warrants which expired in March 2026. The change in fair value of the warrants is due to the change in the stock price of the Company.</w:t>
      </w:r>
      <w:r>
        <w:rPr>
          <w:rFonts w:ascii="Times New Roman" w:hAnsi="Times New Roman"/>
          <w:color w:val="000000"/>
          <w:sz w:val="20"/>
        </w:rPr>
        <w:t xml:space="preserve"> </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24</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Other income and expense</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Other income and expense primarily consist of and foreign currency transaction gains and losses, as well as realized gains and losses on marketable securities.</w:t>
      </w:r>
    </w:p>
    <w:p>
      <w:pPr>
        <w:pStyle w:val="TextBody"/>
        <w:bidi w:val="0"/>
        <w:spacing w:before="220" w:after="283"/>
        <w:jc w:val="left"/>
        <w:rPr>
          <w:rFonts w:ascii="Times New Roman" w:hAnsi="Times New Roman"/>
          <w:sz w:val="20"/>
        </w:rPr>
      </w:pPr>
      <w:r>
        <w:rPr>
          <w:rFonts w:ascii="Times New Roman" w:hAnsi="Times New Roman"/>
          <w:b/>
          <w:i/>
          <w:color w:val="000000"/>
          <w:sz w:val="18"/>
        </w:rPr>
        <w:t>Interest expense</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8"/>
        </w:rPr>
        <w:t>Interest expense consists of interest expense on convertible notes.</w:t>
      </w:r>
      <w:r>
        <w:rPr>
          <w:rFonts w:ascii="Times New Roman" w:hAnsi="Times New Roman"/>
          <w:color w:val="000000"/>
          <w:sz w:val="20"/>
        </w:rPr>
        <w:t xml:space="preserve"> </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Results of Operations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The results of operations presented below should be reviewed in conjunction with the condensed consolidated financial statements and notes included elsewhere in this Quarterly Report on Form 10-Q.</w:t>
      </w:r>
    </w:p>
    <w:p>
      <w:pPr>
        <w:pStyle w:val="TextBody"/>
        <w:bidi w:val="0"/>
        <w:spacing w:before="140" w:after="283"/>
        <w:jc w:val="left"/>
        <w:rPr>
          <w:rFonts w:ascii="Times New Roman" w:hAnsi="Times New Roman"/>
          <w:b/>
          <w:color w:val="000000"/>
          <w:sz w:val="18"/>
        </w:rPr>
      </w:pPr>
      <w:r>
        <w:rPr>
          <w:rFonts w:ascii="Times New Roman" w:hAnsi="Times New Roman"/>
          <w:b/>
          <w:color w:val="000000"/>
          <w:sz w:val="18"/>
        </w:rPr>
        <w:t>Comparison of the Three Months Ended June 30, 2026, and 2025</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The following table sets forth our results of operations data for the periods presented:</w:t>
      </w:r>
    </w:p>
    <w:p>
      <w:pPr>
        <w:pStyle w:val="TextBody"/>
        <w:bidi w:val="0"/>
        <w:spacing w:before="140" w:after="283"/>
        <w:jc w:val="left"/>
        <w:rPr/>
      </w:pPr>
      <w:r>
        <w:rPr/>
        <w:t> </w:t>
      </w:r>
    </w:p>
    <w:tbl>
      <w:tblPr>
        <w:tblW w:w="8436" w:type="dxa"/>
        <w:jc w:val="left"/>
        <w:tblInd w:w="0" w:type="dxa"/>
        <w:tblLayout w:type="fixed"/>
        <w:tblCellMar>
          <w:top w:w="28" w:type="dxa"/>
          <w:left w:w="28" w:type="dxa"/>
          <w:bottom w:w="28" w:type="dxa"/>
          <w:right w:w="28" w:type="dxa"/>
        </w:tblCellMar>
      </w:tblPr>
      <w:tblGrid>
        <w:gridCol w:w="3286"/>
        <w:gridCol w:w="146"/>
        <w:gridCol w:w="196"/>
        <w:gridCol w:w="661"/>
        <w:gridCol w:w="166"/>
        <w:gridCol w:w="146"/>
        <w:gridCol w:w="196"/>
        <w:gridCol w:w="751"/>
        <w:gridCol w:w="166"/>
        <w:gridCol w:w="146"/>
        <w:gridCol w:w="196"/>
        <w:gridCol w:w="601"/>
        <w:gridCol w:w="166"/>
        <w:gridCol w:w="146"/>
        <w:gridCol w:w="177"/>
        <w:gridCol w:w="529"/>
        <w:gridCol w:w="76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br/>
              <w:t>%</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share subscription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Product</w:t>
      </w:r>
    </w:p>
    <w:p>
      <w:pPr>
        <w:pStyle w:val="TextBody"/>
        <w:bidi w:val="0"/>
        <w:spacing w:before="140" w:after="283"/>
        <w:jc w:val="left"/>
        <w:rPr>
          <w:rFonts w:ascii="Times New Roman" w:hAnsi="Times New Roman"/>
          <w:sz w:val="20"/>
        </w:rPr>
      </w:pPr>
      <w:r>
        <w:rPr>
          <w:rFonts w:ascii="Times New Roman" w:hAnsi="Times New Roman"/>
          <w:color w:val="000000"/>
          <w:sz w:val="18"/>
        </w:rPr>
        <w:t>Product revenue decreased by $1.7 million, or 39%, to $2.5 million during the three months ended June 30, 2026, from $4.2 million for the three months ended June 30, 2025. This decrease was primarily due to a lower average selling price of units sold in the three months ended June 30, 2026 as compared to the three months ended June 30, 2025, partially offset by higher number of units sold in the three months ended June 30, 2026 as compared to the three months ended June 30, 2025.</w:t>
      </w:r>
      <w:r>
        <w:rPr>
          <w:rFonts w:ascii="Times New Roman" w:hAnsi="Times New Roman"/>
          <w:color w:val="000000"/>
          <w:sz w:val="20"/>
        </w:rPr>
        <w:t xml:space="preserve"> </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Professional Service</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Professional services revenue increased by $2.3 million, or 174%, to $3.6 million during the three months ended June 30, 2026, from $1.3 million for the three months ended June 30, 2025. The increase was primarily due to a higher development activity for non-recurring engineering services during the three months ended June 30, 2026.</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25</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Cost of revenue</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Cost of product revenue decreased by $1.4 million, or 35%, during the three months ended June 30, 2026, from the three months ended June 30, 2025. The decrease was primarily due to a lower material cost and manufacturing overheads related to the units sold.</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Cost of professional service revenues decreased by $2.9 million, or 69%, during the three months ended June 30, 2026, from the three months ended June 30, 2025. The decrease was primarily due to a $3.8 million loss recognized on a joint development agreement during three months ended June 30, 2025, partially offset by an increase in the non recurring engineering revenue during the three months ended June 30, 2026 as compared to the three months ended June 30, 2025.</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spacing w:before="140" w:after="283"/>
        <w:jc w:val="left"/>
        <w:rPr>
          <w:rFonts w:ascii="Times New Roman" w:hAnsi="Times New Roman"/>
          <w:sz w:val="20"/>
        </w:rPr>
      </w:pPr>
      <w:r>
        <w:rPr>
          <w:rFonts w:ascii="Times New Roman" w:hAnsi="Times New Roman"/>
          <w:color w:val="000000"/>
          <w:sz w:val="18"/>
        </w:rPr>
        <w:t>Research and development expenses increased by $2.0 million, or 9%, to $24.9 million for the three months ended June 30, 2026, from $22.8 million for the three months ended June 30, 2025. The increase was primarily due to a $1.5 million increase in stock based compensation expense, a $0.9 million increase in research and development expense, a $0.8 million increase in software license subscription expense, a $0.3 million increase in consulting expense, partially offset by a $1.4 million decrease in payroll related expense.</w:t>
      </w:r>
      <w:r>
        <w:rPr>
          <w:rFonts w:ascii="Times New Roman" w:hAnsi="Times New Roman"/>
          <w:color w:val="000000"/>
          <w:sz w:val="20"/>
        </w:rPr>
        <w:t xml:space="preserve"> </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General and administrative expenses</w:t>
      </w:r>
    </w:p>
    <w:p>
      <w:pPr>
        <w:pStyle w:val="TextBody"/>
        <w:bidi w:val="0"/>
        <w:spacing w:before="140" w:after="283"/>
        <w:jc w:val="left"/>
        <w:rPr>
          <w:rFonts w:ascii="Times New Roman" w:hAnsi="Times New Roman"/>
          <w:sz w:val="20"/>
        </w:rPr>
      </w:pPr>
      <w:r>
        <w:rPr>
          <w:rFonts w:ascii="Times New Roman" w:hAnsi="Times New Roman"/>
          <w:color w:val="000000"/>
          <w:sz w:val="18"/>
        </w:rPr>
        <w:t>General and administrative expenses increased by $2.2 million, or 28%, to $10.2 million for the three months ended June 30, 2026, from $8.0 million for the three months ended June 30, 2025. The increase was primarily due to a $0.8 million increase in payroll related expense, a $0.6 million increase in stock based compensation expense and a $0.8 million increase in professional service expense.</w:t>
      </w:r>
      <w:r>
        <w:rPr>
          <w:rFonts w:ascii="Times New Roman" w:hAnsi="Times New Roman"/>
          <w:color w:val="000000"/>
          <w:sz w:val="20"/>
        </w:rPr>
        <w:t xml:space="preserve"> </w:t>
      </w:r>
    </w:p>
    <w:p>
      <w:pPr>
        <w:pStyle w:val="TextBody"/>
        <w:bidi w:val="0"/>
        <w:spacing w:before="220" w:after="283"/>
        <w:jc w:val="left"/>
        <w:rPr>
          <w:rFonts w:ascii="Times New Roman" w:hAnsi="Times New Roman"/>
          <w:i/>
          <w:color w:val="000000"/>
          <w:sz w:val="18"/>
        </w:rPr>
      </w:pPr>
      <w:r>
        <w:rPr>
          <w:rFonts w:ascii="Times New Roman" w:hAnsi="Times New Roman"/>
          <w:i/>
          <w:color w:val="000000"/>
          <w:sz w:val="18"/>
        </w:rPr>
        <w:t>Selling and marketing expenses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Selling and marketing expenses increased by $0.3 million, or 18%, to $1.6 million for the three months ended June 30, 2026, from $1.4 million for the three months ended June 30, 2025. The increase was primarily due to a $0.3 million increase in stock based compensation expense, a $0.2 million increase in travel expense, partially offset by a $0.2 million decrease in marketing expense.</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Interest income</w:t>
      </w:r>
    </w:p>
    <w:p>
      <w:pPr>
        <w:pStyle w:val="TextBody"/>
        <w:bidi w:val="0"/>
        <w:spacing w:before="140" w:after="283"/>
        <w:jc w:val="left"/>
        <w:rPr>
          <w:rFonts w:ascii="Times New Roman" w:hAnsi="Times New Roman"/>
          <w:sz w:val="20"/>
        </w:rPr>
      </w:pPr>
      <w:r>
        <w:rPr>
          <w:rFonts w:ascii="Times New Roman" w:hAnsi="Times New Roman"/>
          <w:color w:val="000000"/>
          <w:sz w:val="18"/>
        </w:rPr>
        <w:t>Interest income increased by $0.3 million, or 44%, during the three months ended June 30, 2026, as compared to the three months ended June 30, 2025. The increase was due to an increase in the overall balance of interest-bearing cash equivalents and marketable securities.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b/>
          <w:i/>
          <w:color w:val="000000"/>
          <w:sz w:val="18"/>
        </w:rPr>
        <w:t>Change in fair value of warrant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change during the three months ended June 30, 2026, as compared to the three months ended June 30, 2025, was due to change in the fair value of Series A warrants resulting from change in the stock price of the company at the end of the each period.</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b/>
          <w:i/>
          <w:color w:val="000000"/>
          <w:sz w:val="18"/>
        </w:rPr>
        <w:t>Fair value loss on share subscription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fair value loss on share subscription liability of $70.0 million during the three months ended June 30, 2025 was a non cash charge due to change in fair value of common stock to be issued under the LG Subscription Agreement.</w:t>
      </w:r>
      <w:r>
        <w:rPr>
          <w:rFonts w:ascii="Times New Roman" w:hAnsi="Times New Roman"/>
          <w:color w:val="000000"/>
          <w:sz w:val="20"/>
        </w:rPr>
        <w:t xml:space="preserve"> </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Interest expense</w:t>
      </w:r>
    </w:p>
    <w:p>
      <w:pPr>
        <w:pStyle w:val="TextBody"/>
        <w:bidi w:val="0"/>
        <w:spacing w:before="140" w:after="283"/>
        <w:jc w:val="left"/>
        <w:rPr>
          <w:rFonts w:ascii="Times New Roman" w:hAnsi="Times New Roman"/>
          <w:sz w:val="20"/>
        </w:rPr>
      </w:pPr>
      <w:r>
        <w:rPr>
          <w:rFonts w:ascii="Times New Roman" w:hAnsi="Times New Roman"/>
          <w:color w:val="000000"/>
          <w:sz w:val="18"/>
        </w:rPr>
        <w:t>Interest expense increased by $1.2 million during the three months ended June 30, 2026, as compared to the three months ended June 30, 2025, due to interest expense related to the convertible notes.</w:t>
      </w:r>
      <w:r>
        <w:rPr>
          <w:rFonts w:ascii="Times New Roman" w:hAnsi="Times New Roman"/>
          <w:color w:val="000000"/>
          <w:sz w:val="20"/>
        </w:rPr>
        <w:t xml:space="preserve"> </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26</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40" w:after="283"/>
        <w:jc w:val="left"/>
        <w:rPr>
          <w:rFonts w:ascii="Times New Roman" w:hAnsi="Times New Roman"/>
          <w:b/>
          <w:color w:val="000000"/>
          <w:sz w:val="18"/>
        </w:rPr>
      </w:pPr>
      <w:r>
        <w:rPr>
          <w:rFonts w:ascii="Times New Roman" w:hAnsi="Times New Roman"/>
          <w:b/>
          <w:color w:val="000000"/>
          <w:sz w:val="18"/>
        </w:rPr>
        <w:t>Comparison of the Six Months Ended June 30, 2026, and 2025</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The following table sets forth our results of operations data for the periods presented:</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486"/>
        <w:gridCol w:w="146"/>
        <w:gridCol w:w="196"/>
        <w:gridCol w:w="751"/>
        <w:gridCol w:w="166"/>
        <w:gridCol w:w="146"/>
        <w:gridCol w:w="196"/>
        <w:gridCol w:w="751"/>
        <w:gridCol w:w="166"/>
        <w:gridCol w:w="146"/>
        <w:gridCol w:w="196"/>
        <w:gridCol w:w="691"/>
        <w:gridCol w:w="166"/>
        <w:gridCol w:w="146"/>
        <w:gridCol w:w="1001"/>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Change </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Change </w:t>
              <w:b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(26)%</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18"/>
              </w:rPr>
            </w:pPr>
            <w:r>
              <w:rPr>
                <w:rFonts w:ascii="Times New Roman" w:hAnsi="Times New Roman"/>
                <w:color w:val="000000"/>
                <w:sz w:val="18"/>
              </w:rPr>
              <w:t>238%</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(14)%</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18"/>
              </w:rPr>
            </w:pPr>
            <w:r>
              <w:rPr>
                <w:rFonts w:ascii="Times New Roman" w:hAnsi="Times New Roman"/>
                <w:color w:val="000000"/>
                <w:sz w:val="18"/>
              </w:rPr>
              <w:t>(44)%</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(27)%</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(271)%</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7%</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49%</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18"/>
              </w:rPr>
            </w:pPr>
            <w:r>
              <w:rPr>
                <w:rFonts w:ascii="Times New Roman" w:hAnsi="Times New Roman"/>
                <w:color w:val="000000"/>
                <w:sz w:val="18"/>
              </w:rPr>
              <w:t>6%</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17%</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7%</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9%</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(53)%</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loss on share subscription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(100)%</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(100)%</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(61)%</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(50)%</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(29)%</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r>
    </w:tbl>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Product</w:t>
      </w:r>
    </w:p>
    <w:p>
      <w:pPr>
        <w:pStyle w:val="TextBody"/>
        <w:bidi w:val="0"/>
        <w:spacing w:before="140" w:after="283"/>
        <w:jc w:val="left"/>
        <w:rPr>
          <w:rFonts w:ascii="Times New Roman" w:hAnsi="Times New Roman"/>
          <w:sz w:val="20"/>
        </w:rPr>
      </w:pPr>
      <w:r>
        <w:rPr>
          <w:rFonts w:ascii="Times New Roman" w:hAnsi="Times New Roman"/>
          <w:color w:val="000000"/>
          <w:sz w:val="18"/>
        </w:rPr>
        <w:t>Product revenue decreased by $1.7 million, or 26%, to $5.0 million during the six months ended June 30, 2026, from $6.7 million for the six months ended June 30, 2025. This decrease was primarily due to a lower average selling price of units sold in the six months ended June 30, 2026 as compared to the six months ended June 30, 2025, partially offset by higher number of units sold in the six months ended June 30, 2026 as compared to the six months ended June 30, 2025.</w:t>
      </w:r>
      <w:r>
        <w:rPr>
          <w:rFonts w:ascii="Times New Roman" w:hAnsi="Times New Roman"/>
          <w:color w:val="000000"/>
          <w:sz w:val="20"/>
        </w:rPr>
        <w:t xml:space="preserve"> </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Professional Service</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Professional services revenue increased by $5.2 million, or 238%, to $7.4 million during the six months ended June 30, 2026, from $2.2 million for the six months ended June 30, 2025. The increase was primarily due to a higher development activity for non-recurring engineering services during the six months ended June 30, 2026 for a new development agreement signed in second half of year ended December 31, 2025.</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Cost of revenue</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Cost of product revenue decreased by $0.9 million, or 14%, during the six months ended June 30, 2026, from the six months ended June 30, 2025. The decrease was primarily due to a lower material cost and manufacturing overheads related to the units sold.</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Cost of professional service revenues decreased by $2.1 million, or 44%, during the six months ended June 30, 2026, from the six months ended June 30, 2025. The decrease was primarily due to a $3.8 million loss recognized on a joint development agreement during six months ended June 30, 2025, partially offset by increase in the non recurring engineering revenue during the six months ended June 30, 2026 as compared to the six months ended June 30, 2025.</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spacing w:before="140" w:after="283"/>
        <w:jc w:val="left"/>
        <w:rPr>
          <w:rFonts w:ascii="Times New Roman" w:hAnsi="Times New Roman"/>
          <w:sz w:val="20"/>
        </w:rPr>
      </w:pPr>
      <w:r>
        <w:rPr>
          <w:rFonts w:ascii="Times New Roman" w:hAnsi="Times New Roman"/>
          <w:color w:val="000000"/>
          <w:sz w:val="18"/>
        </w:rPr>
        <w:t>Research and development expenses increased by $3.3 million, or 7%, to $47.7 million for the six months ended June 30, 2026, from $44.4 million for the six months ended June 30, 2025. The increase was primarily due to a $2.6 million increase in stock based compensation expense, a $2.5 million</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27</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40" w:after="283"/>
        <w:jc w:val="left"/>
        <w:rPr>
          <w:rFonts w:ascii="Times New Roman" w:hAnsi="Times New Roman"/>
          <w:sz w:val="20"/>
        </w:rPr>
      </w:pPr>
      <w:r>
        <w:rPr>
          <w:rFonts w:ascii="Times New Roman" w:hAnsi="Times New Roman"/>
          <w:color w:val="000000"/>
          <w:sz w:val="18"/>
        </w:rPr>
        <w:t>increase in research and development service expense, a $0.9 million increase in software license subscription expense, a $0.4 million increase in consulting expense, partially offset by a $3.1 million decrease in payroll related expense.</w:t>
      </w:r>
      <w:r>
        <w:rPr>
          <w:rFonts w:ascii="Times New Roman" w:hAnsi="Times New Roman"/>
          <w:color w:val="000000"/>
          <w:sz w:val="20"/>
        </w:rPr>
        <w:t xml:space="preserve"> </w:t>
      </w:r>
    </w:p>
    <w:p>
      <w:pPr>
        <w:pStyle w:val="TextBody"/>
        <w:bidi w:val="0"/>
        <w:spacing w:before="140" w:after="283"/>
        <w:jc w:val="left"/>
        <w:rPr>
          <w:rFonts w:ascii="Times New Roman" w:hAnsi="Times New Roman"/>
          <w:i/>
          <w:color w:val="000000"/>
          <w:sz w:val="18"/>
        </w:rPr>
      </w:pPr>
      <w:r>
        <w:rPr>
          <w:rFonts w:ascii="Times New Roman" w:hAnsi="Times New Roman"/>
          <w:i/>
          <w:color w:val="000000"/>
          <w:sz w:val="18"/>
        </w:rPr>
        <w:t>General and administrative expenses</w:t>
      </w:r>
    </w:p>
    <w:p>
      <w:pPr>
        <w:pStyle w:val="TextBody"/>
        <w:bidi w:val="0"/>
        <w:spacing w:before="140" w:after="283"/>
        <w:jc w:val="left"/>
        <w:rPr>
          <w:rFonts w:ascii="Times New Roman" w:hAnsi="Times New Roman"/>
          <w:sz w:val="20"/>
        </w:rPr>
      </w:pPr>
      <w:r>
        <w:rPr>
          <w:rFonts w:ascii="Times New Roman" w:hAnsi="Times New Roman"/>
          <w:color w:val="000000"/>
          <w:sz w:val="18"/>
        </w:rPr>
        <w:t>General and administrative expenses increased by $7.4 million, or 49%, to $22.6 million for the six months ended June 30, 2026, from $15.2 million for the six months ended June 30, 2025. The increase was primarily due to a $4.3 million increase in stock based compensation expense, a $1.3 million increase in payroll related expense, a $1.7 million increase in legal and professional expense and a $0.1 million increase in consulting expense.</w:t>
      </w:r>
      <w:r>
        <w:rPr>
          <w:rFonts w:ascii="Times New Roman" w:hAnsi="Times New Roman"/>
          <w:color w:val="000000"/>
          <w:sz w:val="20"/>
        </w:rPr>
        <w:t xml:space="preserve"> </w:t>
      </w:r>
    </w:p>
    <w:p>
      <w:pPr>
        <w:pStyle w:val="TextBody"/>
        <w:bidi w:val="0"/>
        <w:spacing w:before="220" w:after="283"/>
        <w:jc w:val="left"/>
        <w:rPr>
          <w:rFonts w:ascii="Times New Roman" w:hAnsi="Times New Roman"/>
          <w:i/>
          <w:color w:val="000000"/>
          <w:sz w:val="18"/>
        </w:rPr>
      </w:pPr>
      <w:r>
        <w:rPr>
          <w:rFonts w:ascii="Times New Roman" w:hAnsi="Times New Roman"/>
          <w:i/>
          <w:color w:val="000000"/>
          <w:sz w:val="18"/>
        </w:rPr>
        <w:t>Selling and marketing expenses</w:t>
      </w:r>
    </w:p>
    <w:p>
      <w:pPr>
        <w:pStyle w:val="TextBody"/>
        <w:bidi w:val="0"/>
        <w:spacing w:before="140" w:after="283"/>
        <w:jc w:val="left"/>
        <w:rPr>
          <w:rFonts w:ascii="Times New Roman" w:hAnsi="Times New Roman"/>
          <w:sz w:val="20"/>
        </w:rPr>
      </w:pPr>
      <w:r>
        <w:rPr>
          <w:rFonts w:ascii="Times New Roman" w:hAnsi="Times New Roman"/>
          <w:color w:val="000000"/>
          <w:sz w:val="18"/>
        </w:rPr>
        <w:t>Selling and marketing expenses increased by $0.2 million, or 6%, to $3.5 million for the six months ended June 30, 2026, from $3.3 million for the six months ended June 30, 2025. The increase was primarily due to a $0.2 million increase in stock based compensation expense, a $0.2 million increase in travel expense, partially offset by a $0.2 million decrease in marketing expense.</w:t>
      </w:r>
      <w:r>
        <w:rPr>
          <w:rFonts w:ascii="Times New Roman" w:hAnsi="Times New Roman"/>
          <w:color w:val="000000"/>
          <w:sz w:val="20"/>
        </w:rPr>
        <w:t xml:space="preserve"> </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Interest income</w:t>
      </w:r>
    </w:p>
    <w:p>
      <w:pPr>
        <w:pStyle w:val="TextBody"/>
        <w:bidi w:val="0"/>
        <w:spacing w:before="140" w:after="283"/>
        <w:jc w:val="left"/>
        <w:rPr>
          <w:rFonts w:ascii="Times New Roman" w:hAnsi="Times New Roman"/>
          <w:sz w:val="20"/>
        </w:rPr>
      </w:pPr>
      <w:r>
        <w:rPr>
          <w:rFonts w:ascii="Times New Roman" w:hAnsi="Times New Roman"/>
          <w:color w:val="000000"/>
          <w:sz w:val="18"/>
        </w:rPr>
        <w:t>Interest income increased by $0.1 million, or 9%, during the six months ended June 30, 2026, as compared to the six months ended June 30, 2025. The increase was due to an increase in the overall balance of interest-bearing cash equivalents and marketable securities.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b/>
          <w:i/>
          <w:color w:val="000000"/>
          <w:sz w:val="18"/>
        </w:rPr>
        <w:t>Change in fair value of warrant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change during the six months ended June 30, 2026, as compared to the six months ended June 30, 2025, was due to an increase in the fair value of the Series A warrants issued in connection with the Facility Agreement.</w:t>
      </w:r>
    </w:p>
    <w:p>
      <w:pPr>
        <w:pStyle w:val="TextBody"/>
        <w:bidi w:val="0"/>
        <w:spacing w:before="220" w:after="283"/>
        <w:jc w:val="left"/>
        <w:rPr>
          <w:rFonts w:ascii="Times New Roman" w:hAnsi="Times New Roman"/>
          <w:sz w:val="20"/>
        </w:rPr>
      </w:pPr>
      <w:r>
        <w:rPr>
          <w:rFonts w:ascii="Times New Roman" w:hAnsi="Times New Roman"/>
          <w:b/>
          <w:i/>
          <w:color w:val="000000"/>
          <w:sz w:val="18"/>
        </w:rPr>
        <w:t>Fair value loss on share subscription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fair value loss on share subscription liability of $70.0 million during the three months ended June 30, 2025 was a non cash charge due to change in fair value of common stock to be issued under the LG Subscription Agreement.</w:t>
      </w:r>
      <w:r>
        <w:rPr>
          <w:rFonts w:ascii="Times New Roman" w:hAnsi="Times New Roman"/>
          <w:color w:val="000000"/>
          <w:sz w:val="20"/>
        </w:rPr>
        <w:t xml:space="preserve"> </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Interest expense</w:t>
      </w:r>
    </w:p>
    <w:p>
      <w:pPr>
        <w:pStyle w:val="TextBody"/>
        <w:bidi w:val="0"/>
        <w:spacing w:before="140" w:after="283"/>
        <w:jc w:val="left"/>
        <w:rPr>
          <w:rFonts w:ascii="Times New Roman" w:hAnsi="Times New Roman"/>
          <w:sz w:val="20"/>
        </w:rPr>
      </w:pPr>
      <w:r>
        <w:rPr>
          <w:rFonts w:ascii="Times New Roman" w:hAnsi="Times New Roman"/>
          <w:color w:val="000000"/>
          <w:sz w:val="18"/>
        </w:rPr>
        <w:t>Interest expense increased by $2.4 million during the six months ended June 30, 2026, as compared to the six months ended June 30, 2025, due to interest expense related to the convertible notes.</w:t>
      </w:r>
      <w:r>
        <w:rPr>
          <w:rFonts w:ascii="Times New Roman" w:hAnsi="Times New Roman"/>
          <w:color w:val="000000"/>
          <w:sz w:val="20"/>
        </w:rPr>
        <w:t xml:space="preserve"> </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28</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140" w:after="283"/>
        <w:jc w:val="left"/>
        <w:rPr>
          <w:rFonts w:ascii="Times New Roman" w:hAnsi="Times New Roman"/>
          <w:b/>
          <w:i/>
          <w:color w:val="000000"/>
          <w:sz w:val="18"/>
        </w:rPr>
      </w:pPr>
      <w:r>
        <w:rPr>
          <w:rFonts w:ascii="Times New Roman" w:hAnsi="Times New Roman"/>
          <w:b/>
          <w:i/>
          <w:color w:val="000000"/>
          <w:sz w:val="18"/>
        </w:rPr>
        <w:t>Sources of Liquidity</w:t>
      </w:r>
    </w:p>
    <w:p>
      <w:pPr>
        <w:pStyle w:val="TextBody"/>
        <w:bidi w:val="0"/>
        <w:spacing w:before="140" w:after="283"/>
        <w:jc w:val="left"/>
        <w:rPr>
          <w:rFonts w:ascii="Times New Roman" w:hAnsi="Times New Roman"/>
          <w:sz w:val="20"/>
        </w:rPr>
      </w:pPr>
      <w:r>
        <w:rPr>
          <w:rFonts w:ascii="Times New Roman" w:hAnsi="Times New Roman"/>
          <w:color w:val="000000"/>
          <w:sz w:val="18"/>
        </w:rPr>
        <w:t>Our capital requirements will depend on many factors, including production capacity and sales volume, the timing and spending to support research and development efforts, investments in information technology, the expansion of sales and marketing activities, and market adoption of new and enhanced products and features.</w:t>
      </w:r>
      <w:r>
        <w:rPr>
          <w:rFonts w:ascii="Times New Roman" w:hAnsi="Times New Roman"/>
          <w:color w:val="000000"/>
          <w:sz w:val="20"/>
        </w:rPr>
        <w:t xml:space="preserve"> </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On November 8, 2023, we entered into subscription agreements providing for the purchase of common stock resulting in net proceeds of $20.6 million. Also on November 8, 2023, we entered into a Standby Equity Purchase Agreement (as amended from time to time, the “Facility Agreement”) with entities affiliated with Sylebra. Pursuant to the Facility Agreement, we have the right, but not the obligation, to sell to Sylebra up to $125.0 million of shares of preferred stock, at our request until November 8, 2026, subject to the terms of the Facility Agreement and the satisfaction of certain conditions as described in Note 10 to our condensed consolidated financial statements included elsewhere in this Quarterly Report on Form 10-Q. Each sale we request under the Facility Agreement may be for a number of shares of preferred stock with an aggregate value of at least $25.0 million but not more than $50.0 million (except with Sylebra’s consent). We paid Sylebra a facility fee of $2.5 million, an origination fee of $0.6 million, and an administrative fee of $0.3 million and reimbursed $0.4 million to Sylebra for its fees and expenses. In addition, we issued to Sylebra Series A warrants to purchase 3,000,000 shares of common stock at an exercise price of $5.00.</w:t>
      </w:r>
    </w:p>
    <w:p>
      <w:pPr>
        <w:pStyle w:val="TextBody"/>
        <w:bidi w:val="0"/>
        <w:spacing w:before="180" w:after="283"/>
        <w:jc w:val="left"/>
        <w:rPr>
          <w:rFonts w:ascii="Times New Roman" w:hAnsi="Times New Roman"/>
          <w:sz w:val="20"/>
        </w:rPr>
      </w:pPr>
      <w:r>
        <w:rPr>
          <w:rFonts w:ascii="Times New Roman" w:hAnsi="Times New Roman"/>
          <w:color w:val="000000"/>
          <w:sz w:val="18"/>
        </w:rPr>
        <w:t>On July 2, 2024, Aeva and the parties to the Delaware Stockholder Litigation entered into a term sheet, and on December 6, 2024 entered into a formal settlement agreement, which was approved by the court, to fully and finally resolve the Delaware Stockholder Litigation. In connection with the settlement, we agreed to pay a total settlement cost of $14.0 million in exchange for a release of all claims. The settlement was paid pursuant to our indemnification obligations and from available director and officer insurance policies. As of June 30, 2026, we have paid in full the $14.0 million previously accrued in connection with the settlement of the Delaware Stockholder Litigation. We have also recovered $2.5 million from an insurance carrier.</w:t>
      </w:r>
      <w:r>
        <w:rPr>
          <w:rFonts w:ascii="Times New Roman" w:hAnsi="Times New Roman"/>
          <w:color w:val="000000"/>
          <w:sz w:val="20"/>
        </w:rPr>
        <w:t xml:space="preserve"> </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On May 13, 2025, we entered into a subscription agreement with LGIT, a company organized under the laws of the Republic of Korea, pursuant to which we agreed to sell and issue to LGIT in a private placement an aggregate of 3,509,719 shares of common stock for aggregate gross proceeds of approximately $32.5 million. In connection with the private placement, we entered into a joint development agreement with LGIT, and intend to form a strategic partnership with LGIT to bring Aeva’s 4D LiDAR into new industrial and consumer markets. The private placement closed on August 20, 2025. Accordingly, we issued 3,509,719 shares of common stock to LGIT at a price of $9.26 per share on receipt of gross proceeds of $32.5 million.</w:t>
      </w:r>
    </w:p>
    <w:p>
      <w:pPr>
        <w:pStyle w:val="TextBody"/>
        <w:bidi w:val="0"/>
        <w:spacing w:before="140" w:after="283"/>
        <w:jc w:val="left"/>
        <w:rPr>
          <w:rFonts w:ascii="Times New Roman" w:hAnsi="Times New Roman"/>
          <w:sz w:val="20"/>
        </w:rPr>
      </w:pPr>
      <w:r>
        <w:rPr>
          <w:rFonts w:ascii="Times New Roman" w:hAnsi="Times New Roman"/>
          <w:color w:val="000000"/>
          <w:sz w:val="18"/>
        </w:rPr>
        <w:t>On November 4, 2025, we entered into a Securities Purchase Agreement (the “Securities Purchase Agreement”) with certain funds affiliated with Apollo Global Securities, LLC relating to the sale of our 4.375% Convertible Senior Notes (the “Notes”) in an aggregate principal amount of $100 million due in 2032. The Notes are guaranteed by Aeva, Inc., a wholly owned subsidiary of ours. The transactions contemplated by the Securities Purchase Agreement closed on November 6, 2025. The Notes were issued pursuant to an indenture, dated as of November 6, 2025, by and among the Company, Aeva, Inc., as guarantor, and U.S. Bank Trust Company, National Association, as trustee and are senior, unsecured obligations of the Company. Interest on the Notes began accruing on the Closing Date and is payable semi-annually in arrears on May 15 and November 15 of each year, beginning on May 15, 2026, at a rate of 4.375% per year.</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8"/>
        </w:rPr>
        <w:t>On June 5, 2026, we completed a public offering of 5,168,539 shares of our common stock, including 674,157 shares sold pursuant to the underwriters’ exercise of their option to purchase additional shares at a public offering price of $22.25 per share. Upon completion of our public offering, we received net proceeds of $108.8 million, after deducting underwriting discounts and commissions and offering expenses.</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8"/>
        </w:rPr>
        <w:t>To date, we have incurred negative cash flows from operating activities and incurred losses from operations as reflected in our accumulated deficit of $871.9 million as of June 30, 2026. We expect to continue to incur operating losses due to continued investments that we intend to make in our business, including development of products. As of June 30, 2026, we had cash and cash equivalents and marketable securities totaling $177.9 million. We also have the ability to draw on the Facility Agreement up to $125.0 million through November 8, 2026 in exchange for the issuance of preferred shares, and we intend to draw down on the Facility Agreement if and as required by our capital needs. As of June 30, 2026, all conditions to draw under the Facility Agreement were met. We believe that our sources of liquidity, including financing available to us through the Facility Agreement will be sufficient to fund our operating and capital expenditure for at least 12 months from the date of issuance of the condensed consolidated financial statements included elsewhere in this Quarterly Report on Form 10-Q.</w:t>
      </w:r>
      <w:r>
        <w:rPr>
          <w:rFonts w:ascii="Times New Roman" w:hAnsi="Times New Roman"/>
          <w:color w:val="000000"/>
          <w:sz w:val="20"/>
        </w:rPr>
        <w:t xml:space="preserve"> </w:t>
      </w:r>
    </w:p>
    <w:p>
      <w:pPr>
        <w:pStyle w:val="TextBody"/>
        <w:bidi w:val="0"/>
        <w:spacing w:before="220" w:after="283"/>
        <w:jc w:val="left"/>
        <w:rPr>
          <w:rFonts w:ascii="Times New Roman" w:hAnsi="Times New Roman"/>
          <w:b/>
          <w:i/>
          <w:color w:val="000000"/>
          <w:sz w:val="18"/>
        </w:rPr>
      </w:pPr>
      <w:bookmarkStart w:id="15" w:name="bkmk_432"/>
      <w:bookmarkEnd w:id="15"/>
      <w:r>
        <w:rPr>
          <w:rFonts w:ascii="Times New Roman" w:hAnsi="Times New Roman"/>
          <w:b/>
          <w:i/>
          <w:color w:val="000000"/>
          <w:sz w:val="18"/>
        </w:rPr>
        <w:t>Cash Flow Summary</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The following table summarizes our cash flows for the periods presented:</w:t>
      </w:r>
    </w:p>
    <w:tbl>
      <w:tblPr>
        <w:tblW w:w="6211" w:type="dxa"/>
        <w:jc w:val="left"/>
        <w:tblInd w:w="0" w:type="dxa"/>
        <w:tblLayout w:type="fixed"/>
        <w:tblCellMar>
          <w:top w:w="28" w:type="dxa"/>
          <w:left w:w="28" w:type="dxa"/>
          <w:bottom w:w="28" w:type="dxa"/>
          <w:right w:w="28" w:type="dxa"/>
        </w:tblCellMar>
      </w:tblPr>
      <w:tblGrid>
        <w:gridCol w:w="3421"/>
        <w:gridCol w:w="146"/>
        <w:gridCol w:w="213"/>
        <w:gridCol w:w="751"/>
        <w:gridCol w:w="180"/>
        <w:gridCol w:w="158"/>
        <w:gridCol w:w="213"/>
        <w:gridCol w:w="718"/>
        <w:gridCol w:w="4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(57,015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i/>
          <w:color w:val="000000"/>
          <w:sz w:val="18"/>
        </w:rPr>
      </w:pPr>
      <w:r>
        <w:rPr>
          <w:rFonts w:ascii="Times New Roman" w:hAnsi="Times New Roman"/>
          <w:i/>
          <w:color w:val="000000"/>
          <w:sz w:val="18"/>
        </w:rPr>
        <w:t>Operating Activities</w:t>
      </w:r>
    </w:p>
    <w:p>
      <w:pPr>
        <w:pStyle w:val="TextBody"/>
        <w:bidi w:val="0"/>
        <w:spacing w:before="144" w:after="283"/>
        <w:jc w:val="left"/>
        <w:rPr>
          <w:rFonts w:ascii="Times New Roman" w:hAnsi="Times New Roman"/>
          <w:sz w:val="20"/>
        </w:rPr>
      </w:pPr>
      <w:r>
        <w:rPr>
          <w:rFonts w:ascii="Times New Roman" w:hAnsi="Times New Roman"/>
          <w:color w:val="000000"/>
          <w:sz w:val="18"/>
        </w:rPr>
        <w:t>For the six months ended June 30, 2026, net cash used in operating activities was $57.0 million, attributable to a net loss of $114.6 million and a net change in operating assets and liabilities of $9.7 million, partially offset by non-cash charges of $67.3 million. Non-cash charges primarily consisted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29</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44" w:after="283"/>
        <w:jc w:val="left"/>
        <w:rPr>
          <w:rFonts w:ascii="Times New Roman" w:hAnsi="Times New Roman"/>
          <w:sz w:val="20"/>
        </w:rPr>
      </w:pPr>
      <w:r>
        <w:rPr>
          <w:rFonts w:ascii="Times New Roman" w:hAnsi="Times New Roman"/>
          <w:color w:val="000000"/>
          <w:sz w:val="18"/>
        </w:rPr>
        <w:t>of a $44.3 million change in the fair value of warrant liability, $17.9 million in stock-based compensation, $2.3 million for issuance of shares for convertible note interest payment, $2.6 million in depreciation and amortization expense, $1.1 million in amortization of right of use assets and $0.2 million in accretion for convertible notes, partially offset by a $1.0 million in accretion of discount on available for sale securities. The change in net operating assets and liabilities was primarily due to a $10.0 million decrease in accrued employee costs, a $0.8 million decrease in lease liability, a $2.6 million decrease in accrued liabilities, and a $0.4 million increase in accounts receivable, partially offset by a $2.0 increase in accounts payable, a $0.7 million increase in other current liabilities, a $0.6 million decrease in other current asset and a $0.6 million decrease in other noncurrent assets.</w:t>
      </w:r>
      <w:r>
        <w:rPr>
          <w:rFonts w:ascii="Times New Roman" w:hAnsi="Times New Roman"/>
          <w:color w:val="000000"/>
          <w:sz w:val="20"/>
        </w:rPr>
        <w:t xml:space="preserve"> </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Investing Activities</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For the six months ended June 30, 2026, net cash used in investing activities was $86.5 million, attributable to purchase of investments of $148.1 million and purchase of property, plant and equipment of $2.4 million, partially offset by proceeds from maturities of available-for-sale investments of $64.0 million.</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Financing Activities</w:t>
      </w:r>
    </w:p>
    <w:p>
      <w:pPr>
        <w:pStyle w:val="TextBody"/>
        <w:bidi w:val="0"/>
        <w:spacing w:before="144" w:after="283"/>
        <w:jc w:val="left"/>
        <w:rPr>
          <w:rFonts w:ascii="Times New Roman" w:hAnsi="Times New Roman"/>
          <w:sz w:val="20"/>
        </w:rPr>
      </w:pPr>
      <w:bookmarkStart w:id="16" w:name="bkmk_433"/>
      <w:bookmarkEnd w:id="16"/>
      <w:r>
        <w:rPr>
          <w:rFonts w:ascii="Times New Roman" w:hAnsi="Times New Roman"/>
          <w:color w:val="000000"/>
          <w:sz w:val="18"/>
        </w:rPr>
        <w:t>For the six months ended June 30, 2026, net cash provided by financing activities was $114.5 million, attributable to $109.2 million of cash received in from public offering net of expense paid and $5.5 million of cash received in connection with our joint development agreement with LGIT, partially offset by a $0.3 million payment of issuance cost for convertible notes.</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Contractual Obligations and Other Commitments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Our commitments relate to leases of real estate. For more information, see Note 15 to our condensed consolidated financial statements located elsewhere in this Quarterly Report on Form 10-Q.</w:t>
      </w:r>
    </w:p>
    <w:p>
      <w:pPr>
        <w:pStyle w:val="TextBody"/>
        <w:bidi w:val="0"/>
        <w:jc w:val="left"/>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Off-Balance Sheet Arrangements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As of June 30, 2026, we have not engaged in any off-balance sheet arrangements, as defined in the rules and regulations of the SEC.</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Critical Accounting Estimates</w:t>
      </w:r>
    </w:p>
    <w:p>
      <w:pPr>
        <w:pStyle w:val="TextBody"/>
        <w:bidi w:val="0"/>
        <w:spacing w:before="140" w:after="283"/>
        <w:jc w:val="left"/>
        <w:rPr>
          <w:rFonts w:ascii="Times New Roman" w:hAnsi="Times New Roman"/>
          <w:sz w:val="20"/>
        </w:rPr>
      </w:pPr>
      <w:r>
        <w:rPr>
          <w:rFonts w:ascii="Times New Roman" w:hAnsi="Times New Roman"/>
          <w:color w:val="000000"/>
          <w:sz w:val="18"/>
        </w:rPr>
        <w:t>We prepare our financial statements in accordance with U.S. GAAP. The preparation of these financial statements requires us to make estimates, assumptions and judgments that can significantly impact the amounts Aeva reports as assets, liabilities, revenue, costs and expenses and the related disclosures. We base our estimates on historical experience and other assumptions that we believe are reasonable under the circumstances. Aeva’s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8"/>
        </w:rPr>
        <w:t>For the three months ended June 30, 2026 there were no significant changes to our critical accounting estimates as noted below. For a more detailed discussion of our critical accounting policies and estimates, refer to our Annual Report on Form 10-K for the year ended December 31, 2025 and Note 1 to our condensed consolidated financial statements included elsewhere in this Quarterly Report on Form 10-Q.</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Warrants and Share Subscriptions</w:t>
      </w:r>
    </w:p>
    <w:p>
      <w:pPr>
        <w:pStyle w:val="TextBody"/>
        <w:bidi w:val="0"/>
        <w:spacing w:before="180" w:after="283"/>
        <w:jc w:val="left"/>
        <w:rPr>
          <w:rFonts w:ascii="Times New Roman" w:hAnsi="Times New Roman"/>
          <w:sz w:val="20"/>
        </w:rPr>
      </w:pPr>
      <w:r>
        <w:rPr>
          <w:rFonts w:ascii="Times New Roman" w:hAnsi="Times New Roman"/>
          <w:color w:val="000000"/>
          <w:sz w:val="18"/>
        </w:rPr>
        <w:t xml:space="preserve">We account for warrants and other equity-linked contracts (i.e., share subscriptions) as equity or liability-classified instruments based on an assessment of the instrument’s specific terms and applicable authoritative guidance in FASB ASC 480, </w:t>
      </w:r>
      <w:r>
        <w:rPr>
          <w:rFonts w:ascii="Times New Roman" w:hAnsi="Times New Roman"/>
          <w:i/>
          <w:color w:val="000000"/>
          <w:sz w:val="18"/>
        </w:rPr>
        <w:t>Distinguishing Liabilities from Equity</w:t>
      </w:r>
      <w:r>
        <w:rPr>
          <w:rFonts w:ascii="Times New Roman" w:hAnsi="Times New Roman"/>
          <w:color w:val="000000"/>
          <w:sz w:val="20"/>
        </w:rPr>
        <w:t xml:space="preserve"> </w:t>
      </w:r>
      <w:r>
        <w:rPr>
          <w:rFonts w:ascii="Times New Roman" w:hAnsi="Times New Roman"/>
          <w:color w:val="000000"/>
          <w:sz w:val="18"/>
        </w:rPr>
        <w:t xml:space="preserve">(“ASC 480”), and ASC 815-40, </w:t>
      </w:r>
      <w:r>
        <w:rPr>
          <w:rFonts w:ascii="Times New Roman" w:hAnsi="Times New Roman"/>
          <w:i/>
          <w:color w:val="000000"/>
          <w:sz w:val="18"/>
        </w:rPr>
        <w:t>Derivatives and Hedging – Contract in Entity’s Own Equity</w:t>
      </w:r>
      <w:r>
        <w:rPr>
          <w:rFonts w:ascii="Times New Roman" w:hAnsi="Times New Roman"/>
          <w:color w:val="000000"/>
          <w:sz w:val="20"/>
        </w:rPr>
        <w:t xml:space="preserve"> </w:t>
      </w:r>
      <w:r>
        <w:rPr>
          <w:rFonts w:ascii="Times New Roman" w:hAnsi="Times New Roman"/>
          <w:color w:val="000000"/>
          <w:sz w:val="18"/>
        </w:rPr>
        <w:t>(“ASC 815-40”).</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We first assess whether a freestanding equity-linked instrument should be classified as a liability pursuant to ASC 480 when the instrument is mandatorily redeemable, obligates the issuer to settle an instrument or the underlying shares by paying cash or other assets, or must or may require settlement by issuing variable number of shares and such settlement scenario is predominantly likely to occur.</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If an equity-linked instrument does not trigger liability classification under ASC 480, we assess whether the instrument meets all requirements for equity classification under ASC 815-40, including whether the instrument is indexed to our own common stock, among other conditions for equity classification. If not, the instrument is classified as a liability and is further analyzed to determine whether the instrument represents a derivative in its entirety. This assessment requires the use of professional judgment and requires reassessment of an instrument’s classification at each reporting period while the instrument remains outstanding.</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Equity-linked instruments that meet all equity classification conditions are recorded as a component of additional paid-in capital at issuance. Equity-linked instruments accounted for as liabilities are recognized and measured at fair value at inception and each reporting period the instrument remains outstanding. Any excess fair value over proceeds to be realized from the equity-linked instruments entered into at arm’s length, along with any changes in fair value, as determined at each reporting period, are recorded as a component of fair value loss on share subscription liability on the consolidated statements of operations and comprehensive loss. Changes in fair value are reported on the consolidated statements of cash flows as a non-cash reconciling item between net loss and net cash flows from operating activities.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Provision for Anticipated Losses on Contracts</w:t>
      </w:r>
    </w:p>
    <w:p>
      <w:pPr>
        <w:pStyle w:val="TextBody"/>
        <w:bidi w:val="0"/>
        <w:spacing w:before="180" w:after="283"/>
        <w:jc w:val="left"/>
        <w:rPr>
          <w:rFonts w:ascii="Times New Roman" w:hAnsi="Times New Roman"/>
          <w:sz w:val="20"/>
        </w:rPr>
      </w:pPr>
      <w:r>
        <w:rPr>
          <w:rFonts w:ascii="Times New Roman" w:hAnsi="Times New Roman"/>
          <w:color w:val="000000"/>
          <w:sz w:val="18"/>
        </w:rPr>
        <w:t xml:space="preserve">When estimated contract costs exceed expected consideration under contracts with a customer, we evaluate whether the nature of the contract is in the scope of Accounting Standards Codification (“ASC”) 605-35, </w:t>
      </w:r>
      <w:r>
        <w:rPr>
          <w:rFonts w:ascii="Times New Roman" w:hAnsi="Times New Roman"/>
          <w:i/>
          <w:color w:val="000000"/>
          <w:sz w:val="18"/>
        </w:rPr>
        <w:t>Revenue Recognition - Construction-Type and Production-Type Contracts</w:t>
      </w:r>
      <w:r>
        <w:rPr>
          <w:rFonts w:ascii="Times New Roman" w:hAnsi="Times New Roman"/>
          <w:color w:val="000000"/>
          <w:sz w:val="18"/>
        </w:rPr>
        <w:t>(“ASC</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30</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283"/>
        <w:jc w:val="left"/>
        <w:rPr>
          <w:rFonts w:ascii="Times New Roman" w:hAnsi="Times New Roman"/>
          <w:sz w:val="20"/>
        </w:rPr>
      </w:pPr>
      <w:r>
        <w:rPr>
          <w:rFonts w:ascii="Times New Roman" w:hAnsi="Times New Roman"/>
          <w:color w:val="000000"/>
          <w:sz w:val="18"/>
        </w:rPr>
        <w:t>605-35”). If ASC 605-35 applies, we recognize a provision for the entire anticipated losses on contracts as soon as the loss becomes evident. In determining the anticipated losses, we consider the principles in ASC 606-10-32-2 through 32-27 (except for the guidance in paragraphs 606-10-32-11 through 32-13 on constraining estimates of variable consideration) to determine the transaction price, adjusted to reflect the effects of the customer's credit risk. The costs used in arriving at the estimated loss on a contract shall include all costs of the type allocable to contracts under paragraphs 340-40-25-5 through 25-8.</w:t>
      </w:r>
      <w:r>
        <w:rPr>
          <w:rFonts w:ascii="Times New Roman" w:hAnsi="Times New Roman"/>
          <w:color w:val="000000"/>
          <w:sz w:val="20"/>
        </w:rPr>
        <w:t xml:space="preserve"> </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The Private Placement closed on August 20, 2025. Accordingly, we issued 3,509,719 shares of common stock to LGIT at a price of $9.26 per share on receipt of gross proceeds of $32.5 million. See Note 2 to our condensed consolidated financial statements included elsewhere in this Quarterly Report on Form 10-Q for details on the provision for anticipated losses recognized on the JDA contract.</w:t>
      </w:r>
    </w:p>
    <w:p>
      <w:pPr>
        <w:pStyle w:val="TextBody"/>
        <w:bidi w:val="0"/>
        <w:spacing w:before="220" w:after="283"/>
        <w:jc w:val="left"/>
        <w:rPr>
          <w:rFonts w:ascii="Times New Roman" w:hAnsi="Times New Roman"/>
          <w:b/>
          <w:color w:val="000000"/>
          <w:sz w:val="18"/>
        </w:rPr>
      </w:pPr>
      <w:r>
        <w:rPr>
          <w:rFonts w:ascii="Times New Roman" w:hAnsi="Times New Roman"/>
          <w:b/>
          <w:color w:val="000000"/>
          <w:sz w:val="18"/>
        </w:rPr>
        <w:t>Recent Accounting Pronouncements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See Note 1 to our condensed consolidated financial statements included elsewhere in this Quarterly Report on Form 10-Q for recently issued accounting pronouncements not yet adopted as of the date of this Quarterly Report on Form 10-Q.</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31</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283"/>
        <w:jc w:val="left"/>
        <w:rPr>
          <w:rFonts w:ascii="Times New Roman" w:hAnsi="Times New Roman"/>
          <w:b/>
          <w:color w:val="000000"/>
          <w:sz w:val="18"/>
        </w:rPr>
      </w:pPr>
      <w:bookmarkStart w:id="17" w:name="item_3_quantitative_and_qualitative"/>
      <w:bookmarkEnd w:id="17"/>
      <w:r>
        <w:rPr>
          <w:rFonts w:ascii="Times New Roman" w:hAnsi="Times New Roman"/>
          <w:b/>
          <w:color w:val="000000"/>
          <w:sz w:val="18"/>
        </w:rPr>
        <w:t>Item 3. Quantitative and Qualitative Disclosures About Market Risk.</w:t>
      </w:r>
    </w:p>
    <w:p>
      <w:pPr>
        <w:pStyle w:val="TextBody"/>
        <w:bidi w:val="0"/>
        <w:spacing w:before="140" w:after="283"/>
        <w:jc w:val="left"/>
        <w:rPr>
          <w:rFonts w:ascii="Times New Roman" w:hAnsi="Times New Roman"/>
          <w:sz w:val="20"/>
        </w:rPr>
      </w:pPr>
      <w:r>
        <w:rPr>
          <w:rFonts w:ascii="Times New Roman" w:hAnsi="Times New Roman"/>
          <w:color w:val="000000"/>
          <w:sz w:val="18"/>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b/>
          <w:color w:val="000000"/>
          <w:sz w:val="18"/>
        </w:rPr>
        <w:t>Interest rate risk</w:t>
      </w:r>
      <w:r>
        <w:rPr>
          <w:rFonts w:ascii="Times New Roman" w:hAnsi="Times New Roman"/>
          <w:color w:val="000000"/>
          <w:sz w:val="20"/>
        </w:rPr>
        <w:t xml:space="preserve"> </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We maintain an investment portfolio of various holdings, types, and maturities. These securities are generally classified as available for sale and consequently, are recorded on the balance sheet at fair value with unrealized gains and losses reported as a separate component of accumulated other comprehensive loss. At any time, a sharp rise in interest rates could have a material adverse impact on the fair value of our investment portfolio. Conversely, declines in interest rates could have a material positive impact on interest earnings for our portfolio. We do not currently hedge these interest rate exposures. We do not hold or issue financial instruments for trading or speculative purposes and we do not believe there is associated material exposure to interest rate risk.</w:t>
      </w:r>
    </w:p>
    <w:p>
      <w:pPr>
        <w:pStyle w:val="TextBody"/>
        <w:bidi w:val="0"/>
        <w:jc w:val="left"/>
        <w:rPr/>
      </w:pPr>
      <w:r>
        <w:rPr/>
        <w:t> </w:t>
      </w:r>
    </w:p>
    <w:p>
      <w:pPr>
        <w:pStyle w:val="TextBody"/>
        <w:bidi w:val="0"/>
        <w:jc w:val="left"/>
        <w:rPr>
          <w:rFonts w:ascii="Times New Roman" w:hAnsi="Times New Roman"/>
          <w:b/>
          <w:color w:val="000000"/>
          <w:sz w:val="18"/>
        </w:rPr>
      </w:pPr>
      <w:bookmarkStart w:id="18" w:name="i_item4"/>
      <w:bookmarkEnd w:id="18"/>
      <w:r>
        <w:rPr>
          <w:rFonts w:ascii="Times New Roman" w:hAnsi="Times New Roman"/>
          <w:b/>
          <w:color w:val="000000"/>
          <w:sz w:val="18"/>
        </w:rPr>
        <w:t>Item 4. Controls and Procedures.</w:t>
      </w:r>
    </w:p>
    <w:p>
      <w:pPr>
        <w:pStyle w:val="TextBody"/>
        <w:bidi w:val="0"/>
        <w:jc w:val="left"/>
        <w:rPr>
          <w:rFonts w:ascii="Times New Roman" w:hAnsi="Times New Roman"/>
          <w:b/>
          <w:i/>
          <w:color w:val="000000"/>
          <w:sz w:val="18"/>
        </w:rPr>
      </w:pPr>
      <w:r>
        <w:rPr>
          <w:rFonts w:ascii="Times New Roman" w:hAnsi="Times New Roman"/>
          <w:b/>
          <w:i/>
          <w:color w:val="000000"/>
          <w:sz w:val="18"/>
        </w:rPr>
        <w:t>Evaluation of disclosure controls and procedures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Our management, with the participation of our Chief Executive Officer and our Chief Financial Officer,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jc w:val="left"/>
        <w:rPr/>
      </w:pPr>
      <w:r>
        <w:rPr/>
        <w:t> </w:t>
      </w:r>
    </w:p>
    <w:p>
      <w:pPr>
        <w:pStyle w:val="TextBody"/>
        <w:bidi w:val="0"/>
        <w:spacing w:before="40" w:after="283"/>
        <w:jc w:val="left"/>
        <w:rPr>
          <w:rFonts w:ascii="Times New Roman" w:hAnsi="Times New Roman"/>
          <w:b/>
          <w:i/>
          <w:color w:val="000000"/>
          <w:sz w:val="18"/>
        </w:rPr>
      </w:pPr>
      <w:r>
        <w:rPr>
          <w:rFonts w:ascii="Times New Roman" w:hAnsi="Times New Roman"/>
          <w:b/>
          <w:i/>
          <w:color w:val="000000"/>
          <w:sz w:val="18"/>
        </w:rPr>
        <w:t>Changes in internal control over financial reporting</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before="220" w:after="283"/>
        <w:jc w:val="left"/>
        <w:rPr>
          <w:rFonts w:ascii="Times New Roman" w:hAnsi="Times New Roman"/>
          <w:b/>
          <w:i/>
          <w:color w:val="000000"/>
          <w:sz w:val="18"/>
        </w:rPr>
      </w:pPr>
      <w:r>
        <w:rPr>
          <w:rFonts w:ascii="Times New Roman" w:hAnsi="Times New Roman"/>
          <w:b/>
          <w:i/>
          <w:color w:val="000000"/>
          <w:sz w:val="18"/>
        </w:rPr>
        <w:t>Inherent limitation on the effectiveness of internal control</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32</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360" w:after="180"/>
        <w:jc w:val="center"/>
        <w:rPr>
          <w:rFonts w:ascii="Times New Roman" w:hAnsi="Times New Roman"/>
          <w:b/>
          <w:color w:val="000000"/>
          <w:sz w:val="18"/>
        </w:rPr>
      </w:pPr>
      <w:bookmarkStart w:id="19" w:name="part_ii_other_information"/>
      <w:bookmarkEnd w:id="19"/>
      <w:r>
        <w:rPr>
          <w:rFonts w:ascii="Times New Roman" w:hAnsi="Times New Roman"/>
          <w:b/>
          <w:color w:val="000000"/>
          <w:sz w:val="18"/>
        </w:rPr>
        <w:t>PART II—OTHER INFORMATION</w:t>
      </w:r>
    </w:p>
    <w:p>
      <w:pPr>
        <w:pStyle w:val="TextBody"/>
        <w:bidi w:val="0"/>
        <w:spacing w:before="180" w:after="283"/>
        <w:jc w:val="left"/>
        <w:rPr>
          <w:rFonts w:ascii="Times New Roman" w:hAnsi="Times New Roman"/>
          <w:b/>
          <w:color w:val="000000"/>
          <w:sz w:val="18"/>
        </w:rPr>
      </w:pPr>
      <w:bookmarkStart w:id="20" w:name="ii_item1"/>
      <w:bookmarkEnd w:id="20"/>
      <w:r>
        <w:rPr>
          <w:rFonts w:ascii="Times New Roman" w:hAnsi="Times New Roman"/>
          <w:b/>
          <w:color w:val="000000"/>
          <w:sz w:val="18"/>
        </w:rPr>
        <w:t>Item 1. Legal Proceedings.</w:t>
      </w:r>
    </w:p>
    <w:p>
      <w:pPr>
        <w:pStyle w:val="TextBody"/>
        <w:bidi w:val="0"/>
        <w:spacing w:before="144" w:after="283"/>
        <w:jc w:val="left"/>
        <w:rPr>
          <w:rFonts w:ascii="Times New Roman" w:hAnsi="Times New Roman"/>
          <w:sz w:val="20"/>
        </w:rPr>
      </w:pPr>
      <w:r>
        <w:rPr>
          <w:rFonts w:ascii="Times New Roman" w:hAnsi="Times New Roman"/>
          <w:color w:val="000000"/>
          <w:sz w:val="18"/>
        </w:rPr>
        <w:t xml:space="preserve">From time to time, the Company may be involved in actions, claims, suits and other proceedings in the ordinary course of business, including assertions by third parties relating to intellectual property infringement, breaches of contract or warranties or employment-related matters. </w:t>
      </w:r>
      <w:r>
        <w:rPr>
          <w:rFonts w:ascii="Times New Roman" w:hAnsi="Times New Roman"/>
          <w:color w:val="1D1C1D"/>
          <w:sz w:val="18"/>
        </w:rPr>
        <w:t xml:space="preserve">Information regarding legal proceedings is provided in this Quarterly Report on Form 10-Q in “Notes to Condensed Consolidated Financial Statements, Note 15 - </w:t>
      </w:r>
      <w:r>
        <w:rPr>
          <w:rFonts w:ascii="Times New Roman" w:hAnsi="Times New Roman"/>
          <w:i/>
          <w:color w:val="1D1C1D"/>
          <w:sz w:val="18"/>
        </w:rPr>
        <w:t>Commitments and Contingencies</w:t>
      </w:r>
      <w:r>
        <w:rPr>
          <w:rFonts w:ascii="Times New Roman" w:hAnsi="Times New Roman"/>
          <w:color w:val="1D1C1D"/>
          <w:sz w:val="18"/>
        </w:rPr>
        <w:t>.”</w:t>
      </w:r>
    </w:p>
    <w:p>
      <w:pPr>
        <w:pStyle w:val="TextBody"/>
        <w:bidi w:val="0"/>
        <w:jc w:val="left"/>
        <w:rPr/>
      </w:pPr>
      <w:r>
        <w:rPr/>
        <w:t> </w:t>
      </w:r>
    </w:p>
    <w:p>
      <w:pPr>
        <w:pStyle w:val="TextBody"/>
        <w:bidi w:val="0"/>
        <w:jc w:val="left"/>
        <w:rPr>
          <w:rFonts w:ascii="Times New Roman" w:hAnsi="Times New Roman"/>
          <w:b/>
          <w:color w:val="000000"/>
          <w:sz w:val="18"/>
        </w:rPr>
      </w:pPr>
      <w:bookmarkStart w:id="21" w:name="risk_factors"/>
      <w:bookmarkEnd w:id="21"/>
      <w:r>
        <w:rPr>
          <w:rFonts w:ascii="Times New Roman" w:hAnsi="Times New Roman"/>
          <w:b/>
          <w:color w:val="000000"/>
          <w:sz w:val="18"/>
        </w:rPr>
        <w:t>Item 1A. Risk Factors.</w:t>
      </w:r>
    </w:p>
    <w:p>
      <w:pPr>
        <w:pStyle w:val="TextBody"/>
        <w:bidi w:val="0"/>
        <w:spacing w:before="144" w:after="283"/>
        <w:jc w:val="left"/>
        <w:rPr>
          <w:rFonts w:ascii="Times New Roman" w:hAnsi="Times New Roman"/>
          <w:color w:val="000000"/>
          <w:sz w:val="18"/>
        </w:rPr>
      </w:pPr>
      <w:r>
        <w:rPr>
          <w:rFonts w:ascii="Times New Roman" w:hAnsi="Times New Roman"/>
          <w:color w:val="000000"/>
          <w:sz w:val="18"/>
        </w:rPr>
        <w:t>Our business, reputation, results of operations and financial condition, as well as the price of our common stock, can be affected by a number of factors, whether currently known or unknown, including those described in Part I, Item 1A of the 2025 Form 10-K under the heading “Risk Factors.” When any one or more of these risks materialize from time to time, our business, reputation, results of operations and financial condition, as well as the price of our common stock, can be materially and adversely affected. There have been no material changes to our risk factors since the 2025 Form 10-K.</w:t>
      </w:r>
    </w:p>
    <w:p>
      <w:pPr>
        <w:pStyle w:val="TextBody"/>
        <w:bidi w:val="0"/>
        <w:jc w:val="left"/>
        <w:rPr/>
      </w:pPr>
      <w:r>
        <w:rPr/>
        <w:t> </w:t>
      </w:r>
    </w:p>
    <w:p>
      <w:pPr>
        <w:pStyle w:val="TextBody"/>
        <w:bidi w:val="0"/>
        <w:jc w:val="left"/>
        <w:rPr>
          <w:rFonts w:ascii="Times New Roman" w:hAnsi="Times New Roman"/>
          <w:b/>
          <w:color w:val="000000"/>
          <w:sz w:val="18"/>
        </w:rPr>
      </w:pPr>
      <w:bookmarkStart w:id="22" w:name="ii_item2"/>
      <w:bookmarkEnd w:id="22"/>
      <w:r>
        <w:rPr>
          <w:rFonts w:ascii="Times New Roman" w:hAnsi="Times New Roman"/>
          <w:b/>
          <w:color w:val="000000"/>
          <w:sz w:val="18"/>
        </w:rPr>
        <w:t>Item 2. Unregistered Sales of Equity Securities and Use of Proceeds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140" w:after="283"/>
        <w:jc w:val="left"/>
        <w:rPr/>
      </w:pPr>
      <w:r>
        <w:rPr/>
        <w:t> </w:t>
      </w:r>
    </w:p>
    <w:p>
      <w:pPr>
        <w:pStyle w:val="TextBody"/>
        <w:bidi w:val="0"/>
        <w:jc w:val="left"/>
        <w:rPr>
          <w:rFonts w:ascii="Times New Roman" w:hAnsi="Times New Roman"/>
          <w:b/>
          <w:color w:val="000000"/>
          <w:sz w:val="18"/>
        </w:rPr>
      </w:pPr>
      <w:bookmarkStart w:id="23" w:name="ii_item3"/>
      <w:bookmarkEnd w:id="23"/>
      <w:r>
        <w:rPr>
          <w:rFonts w:ascii="Times New Roman" w:hAnsi="Times New Roman"/>
          <w:b/>
          <w:color w:val="000000"/>
          <w:sz w:val="18"/>
        </w:rPr>
        <w:t>Item 3. Defaults Upon Senior Securities.</w:t>
      </w:r>
    </w:p>
    <w:p>
      <w:pPr>
        <w:pStyle w:val="TextBody"/>
        <w:bidi w:val="0"/>
        <w:spacing w:before="1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20" w:after="140"/>
        <w:jc w:val="left"/>
        <w:rPr>
          <w:rFonts w:ascii="Times New Roman" w:hAnsi="Times New Roman"/>
          <w:b/>
          <w:color w:val="000000"/>
          <w:sz w:val="18"/>
        </w:rPr>
      </w:pPr>
      <w:bookmarkStart w:id="24" w:name="ii_item4"/>
      <w:bookmarkEnd w:id="24"/>
      <w:r>
        <w:rPr>
          <w:rFonts w:ascii="Times New Roman" w:hAnsi="Times New Roman"/>
          <w:b/>
          <w:color w:val="000000"/>
          <w:sz w:val="18"/>
        </w:rPr>
        <w:t>Item 4. Mine Safety Disclosures.</w:t>
      </w:r>
    </w:p>
    <w:p>
      <w:pPr>
        <w:pStyle w:val="TextBody"/>
        <w:bidi w:val="0"/>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220" w:after="140"/>
        <w:jc w:val="left"/>
        <w:rPr>
          <w:rFonts w:ascii="Times New Roman" w:hAnsi="Times New Roman"/>
          <w:b/>
          <w:color w:val="000000"/>
          <w:sz w:val="18"/>
        </w:rPr>
      </w:pPr>
      <w:bookmarkStart w:id="25" w:name="ii_item5"/>
      <w:bookmarkEnd w:id="25"/>
      <w:r>
        <w:rPr>
          <w:rFonts w:ascii="Times New Roman" w:hAnsi="Times New Roman"/>
          <w:b/>
          <w:color w:val="000000"/>
          <w:sz w:val="18"/>
        </w:rPr>
        <w:t>Item 5. Other Information.</w:t>
      </w:r>
    </w:p>
    <w:p>
      <w:pPr>
        <w:pStyle w:val="TextBody"/>
        <w:bidi w:val="0"/>
        <w:jc w:val="left"/>
        <w:rPr>
          <w:rFonts w:ascii="Times New Roman" w:hAnsi="Times New Roman"/>
          <w:sz w:val="20"/>
        </w:rPr>
      </w:pPr>
      <w:r>
        <w:rPr>
          <w:rFonts w:ascii="Times New Roman" w:hAnsi="Times New Roman"/>
          <w:i/>
          <w:color w:val="000000"/>
          <w:sz w:val="18"/>
        </w:rPr>
        <w:t>10b5-1 Trading Plans</w:t>
      </w:r>
      <w:r>
        <w:rPr>
          <w:rFonts w:ascii="Times New Roman" w:hAnsi="Times New Roman"/>
          <w:color w:val="000000"/>
          <w:sz w:val="20"/>
        </w:rPr>
        <w:t xml:space="preserve"> </w:t>
      </w:r>
    </w:p>
    <w:p>
      <w:pPr>
        <w:pStyle w:val="TextBody"/>
        <w:bidi w:val="0"/>
        <w:spacing w:before="140" w:after="283"/>
        <w:jc w:val="left"/>
        <w:rPr>
          <w:rFonts w:ascii="Times New Roman" w:hAnsi="Times New Roman"/>
          <w:sz w:val="20"/>
        </w:rPr>
      </w:pPr>
      <w:r>
        <w:rPr>
          <w:rFonts w:ascii="Times New Roman" w:hAnsi="Times New Roman"/>
          <w:color w:val="000000"/>
          <w:sz w:val="18"/>
        </w:rPr>
        <w:t>During the quarter ended June 30, 2026, no Section 16 director or officer</w:t>
      </w:r>
      <w:r>
        <w:rPr>
          <w:rFonts w:ascii="Times New Roman" w:hAnsi="Times New Roman"/>
          <w:color w:val="000000"/>
          <w:sz w:val="20"/>
        </w:rPr>
        <w:t xml:space="preserve"> </w:t>
      </w:r>
      <w:r>
        <w:rPr>
          <w:rFonts w:ascii="Times New Roman" w:hAnsi="Times New Roman"/>
          <w:color w:val="000000"/>
          <w:sz w:val="18"/>
        </w:rPr>
        <w:t>adopted, or terminated</w:t>
      </w:r>
      <w:r>
        <w:rPr>
          <w:rFonts w:ascii="Times New Roman" w:hAnsi="Times New Roman"/>
          <w:color w:val="000000"/>
          <w:sz w:val="20"/>
        </w:rPr>
        <w:t xml:space="preserve"> </w:t>
      </w:r>
      <w:r>
        <w:rPr>
          <w:rFonts w:ascii="Times New Roman" w:hAnsi="Times New Roman"/>
          <w:color w:val="000000"/>
          <w:sz w:val="18"/>
        </w:rPr>
        <w:t>a “Rule 10b5-1 trading arrangement” or a “non-Rule 10b5-1 trading arrangement” (as such terms are defined in Item 408 of Regulation S-K of the Exchange Act), except as follows:</w:t>
      </w:r>
    </w:p>
    <w:p>
      <w:pPr>
        <w:pStyle w:val="TextBody"/>
        <w:bidi w:val="0"/>
        <w:spacing w:before="140" w:after="283"/>
        <w:jc w:val="left"/>
        <w:rPr>
          <w:rFonts w:ascii="Times New Roman" w:hAnsi="Times New Roman"/>
          <w:sz w:val="20"/>
        </w:rPr>
      </w:pPr>
      <w:r>
        <w:rPr>
          <w:rFonts w:ascii="Times New Roman" w:hAnsi="Times New Roman"/>
          <w:color w:val="000000"/>
          <w:sz w:val="18"/>
        </w:rPr>
        <w:t>On May 19, 2026, Saurabh Sinha, our Chief Financial Officer, adopted a Rule 10b5-1</w:t>
      </w:r>
      <w:r>
        <w:rPr>
          <w:rFonts w:ascii="Times New Roman" w:hAnsi="Times New Roman"/>
          <w:color w:val="000000"/>
          <w:sz w:val="20"/>
        </w:rPr>
        <w:t xml:space="preserve"> </w:t>
      </w:r>
      <w:r>
        <w:rPr>
          <w:rFonts w:ascii="Times New Roman" w:hAnsi="Times New Roman"/>
          <w:color w:val="000000"/>
          <w:sz w:val="18"/>
        </w:rPr>
        <w:t>trading arrangement that is intended to satisfy the affirmative defense conditions of Rule 10b5-1(c) (a “Rule 10b5-1 Trading Plan”). Mr. Sinha’s Rule 10b5-1 Trading Plan provides for the sale of up to 267,000</w:t>
      </w:r>
      <w:r>
        <w:rPr>
          <w:rFonts w:ascii="Times New Roman" w:hAnsi="Times New Roman"/>
          <w:color w:val="000000"/>
          <w:sz w:val="20"/>
        </w:rPr>
        <w:t xml:space="preserve"> </w:t>
      </w:r>
      <w:r>
        <w:rPr>
          <w:rFonts w:ascii="Times New Roman" w:hAnsi="Times New Roman"/>
          <w:color w:val="000000"/>
          <w:sz w:val="18"/>
        </w:rPr>
        <w:t>shares of our common stock from August 18, 2026 until February 15, 2027, or earlier if all transactions under the Rule 10b5-1 Trading Plan are completed.</w:t>
      </w:r>
    </w:p>
    <w:p>
      <w:pPr>
        <w:pStyle w:val="TextBody"/>
        <w:bidi w:val="0"/>
        <w:spacing w:before="140" w:after="283"/>
        <w:jc w:val="left"/>
        <w:rPr/>
      </w:pPr>
      <w:r>
        <w:rPr/>
        <w:t> </w:t>
      </w:r>
    </w:p>
    <w:p>
      <w:pPr>
        <w:pStyle w:val="TextBody"/>
        <w:bidi w:val="0"/>
        <w:jc w:val="left"/>
        <w:rPr/>
      </w:pPr>
      <w:r>
        <w:rPr/>
        <w:t> </w:t>
      </w:r>
    </w:p>
    <w:p>
      <w:pPr>
        <w:pStyle w:val="TextBody"/>
        <w:bidi w:val="0"/>
        <w:spacing w:before="140" w:after="283"/>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33</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jc w:val="left"/>
        <w:rPr>
          <w:rFonts w:ascii="Times New Roman" w:hAnsi="Times New Roman"/>
          <w:b/>
          <w:color w:val="000000"/>
          <w:sz w:val="18"/>
        </w:rPr>
      </w:pPr>
      <w:bookmarkStart w:id="26" w:name="ii_item6"/>
      <w:bookmarkEnd w:id="26"/>
      <w:r>
        <w:rPr>
          <w:rFonts w:ascii="Times New Roman" w:hAnsi="Times New Roman"/>
          <w:b/>
          <w:color w:val="000000"/>
          <w:sz w:val="18"/>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ev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ev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ev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ev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Document-the instance document does not appear in the Interactive Data File as its XBRL tags are embedded within the Inline XBRL document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Filed herewith.</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Furnished herewith.</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34</w:t>
      </w:r>
    </w:p>
    <w:p>
      <w:pPr>
        <w:pStyle w:val="HorizontalLine"/>
        <w:pBdr>
          <w:bottom w:val="double" w:sz="2" w:space="0" w:color="808080"/>
        </w:pBdr>
        <w:bidi w:val="0"/>
        <w:spacing w:before="0" w:after="283"/>
        <w:jc w:val="left"/>
        <w:rPr/>
      </w:pPr>
      <w:r>
        <w:rPr/>
      </w:r>
    </w:p>
    <w:p>
      <w:pPr>
        <w:pStyle w:val="TextBody"/>
        <w:bidi w:val="0"/>
        <w:spacing w:before="0" w:after="216"/>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0" w:after="180"/>
        <w:jc w:val="center"/>
        <w:rPr>
          <w:rFonts w:ascii="Times New Roman" w:hAnsi="Times New Roman"/>
          <w:b/>
          <w:color w:val="000000"/>
          <w:sz w:val="18"/>
        </w:rPr>
      </w:pPr>
      <w:bookmarkStart w:id="27" w:name="signatures"/>
      <w:bookmarkEnd w:id="27"/>
      <w:r>
        <w:rPr>
          <w:rFonts w:ascii="Times New Roman" w:hAnsi="Times New Roman"/>
          <w:b/>
          <w:color w:val="000000"/>
          <w:sz w:val="18"/>
        </w:rPr>
        <w:t>SIGNATURES</w:t>
      </w:r>
    </w:p>
    <w:p>
      <w:pPr>
        <w:pStyle w:val="TextBody"/>
        <w:bidi w:val="0"/>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651"/>
        <w:gridCol w:w="109"/>
        <w:gridCol w:w="361"/>
        <w:gridCol w:w="2371"/>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AEVA TECHNOLOGIES, INC.</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3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/s/Soroush Salehian Dardashti</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231F20"/>
                <w:sz w:val="18"/>
              </w:rPr>
              <w:t>Soroush Salehian Dardashti</w:t>
            </w:r>
            <w:r>
              <w:rPr>
                <w:rFonts w:ascii="Times New Roman" w:hAnsi="Times New Roman"/>
                <w:color w:val="000000"/>
                <w:sz w:val="18"/>
              </w:rPr>
              <w:t xml:space="preserve">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18"/>
              </w:rPr>
            </w:pPr>
            <w:r>
              <w:rPr>
                <w:rFonts w:ascii="Times New Roman" w:hAnsi="Times New Roman"/>
                <w:b/>
                <w:color w:val="231F20"/>
                <w:sz w:val="18"/>
              </w:rPr>
              <w:t>Chief Executive Officer</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3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Saurabh Sinha</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Saurabh Sinha</w:t>
            </w:r>
            <w:r>
              <w:rPr>
                <w:rFonts w:ascii="Times New Roman" w:hAnsi="Times New Roman"/>
                <w:color w:val="000000"/>
                <w:sz w:val="18"/>
              </w:rPr>
              <w:t xml:space="preserve">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Chief Financial Officer</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bookmarkStart w:id="28" w:name="aeva-ex31_1.htm"/>
      <w:bookmarkStart w:id="29" w:name="ksaeva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Soroush Salehian Dardashti,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of Aeva Technologies,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82" w:type="dxa"/>
        <w:jc w:val="left"/>
        <w:tblInd w:w="0" w:type="dxa"/>
        <w:tblLayout w:type="fixed"/>
        <w:tblCellMar>
          <w:top w:w="28" w:type="dxa"/>
          <w:left w:w="28" w:type="dxa"/>
          <w:bottom w:w="28" w:type="dxa"/>
          <w:right w:w="28" w:type="dxa"/>
        </w:tblCellMar>
      </w:tblPr>
      <w:tblGrid>
        <w:gridCol w:w="1846"/>
        <w:gridCol w:w="109"/>
        <w:gridCol w:w="406"/>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Soroush Salehian Dardashti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Soroush Salehian Dardashti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eva-ex31_2.htm"/>
      <w:bookmarkStart w:id="31" w:name="ksaeva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Saurabh Sinha,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of Aeva Technologies,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Saurabh Sinha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Saurabh Sinha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aeva-ex32_1.htm"/>
      <w:bookmarkStart w:id="33" w:name="ksaevaex32_1"/>
      <w:bookmarkEnd w:id="32"/>
      <w:bookmarkEnd w:id="33"/>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Aeva Technologies, Inc. (the “Company”) on Form 10-Q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1846"/>
        <w:gridCol w:w="109"/>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Soroush Salehian Dardashti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Soroush Salehian Dardashti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aeva-ex32_2.htm"/>
      <w:bookmarkStart w:id="35" w:name="ksaeva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Aeva Technologies, Inc. (the “Company”) on Form 10-Q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Saurabh Sinha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Saurabh Sinha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18998</Words>
  <Characters>103177</Characters>
  <CharactersWithSpaces>123735</CharactersWithSpaces>
  <Paragraphs>6571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