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Sinha Saurabh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AEVA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ELLIS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Aeva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AEVA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4"/>
        <w:gridCol w:w="903"/>
        <w:gridCol w:w="774"/>
        <w:gridCol w:w="600"/>
        <w:gridCol w:w="343"/>
        <w:gridCol w:w="962"/>
        <w:gridCol w:w="439"/>
        <w:gridCol w:w="925"/>
        <w:gridCol w:w="1138"/>
        <w:gridCol w:w="980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21.2105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581,372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in a transaction that was effected automatically pursuant to a Rule 10b5-1 trading plan as previously adopted by the Reporting Person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Saurabh Sinha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9806" TargetMode="External"/><Relationship Id="rId5" Type="http://schemas.openxmlformats.org/officeDocument/2006/relationships/hyperlink" Target="http://www.sec.gov/cgi-bin/browse-edgar?action=getcompany&amp;CIK=00017890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3220</Characters>
  <CharactersWithSpaces>3742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