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Sinha Saurabh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AEVA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ELLIS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Aeva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AEVA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962"/>
        <w:gridCol w:w="439"/>
        <w:gridCol w:w="925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21.1644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658,202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upon vesting of certain time-based restricted stock unit awards to cover tax withholding obligations. These shares of common stock were automatically sold in a non-discretionary transaction to cover tax withholding obligations upon the settlement of certain time-based restricted stock unit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Saurabh Sinha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806" TargetMode="External"/><Relationship Id="rId5" Type="http://schemas.openxmlformats.org/officeDocument/2006/relationships/hyperlink" Target="http://www.sec.gov/cgi-bin/browse-edgar?action=getcompany&amp;CIK=00017890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3342</Characters>
  <CharactersWithSpaces>3889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