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746ds3a.htm"/>
        <w:bookmarkStart w:id="1" w:name="ksd90746ds3a"/>
        <w:bookmarkEnd w:id="0"/>
        <w:bookmarkEnd w:id="1"/>
        <w:r>
          <w:rPr>
            <w:rStyle w:val="InternetLink"/>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January 29, 2024.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333-276441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34"/>
        </w:rPr>
      </w:pPr>
      <w:r>
        <w:rPr>
          <w:rFonts w:ascii="Times New Roman" w:hAnsi="Times New Roman"/>
          <w:b/>
          <w:sz w:val="34"/>
        </w:rPr>
        <w:t xml:space="preserve">Amendment No. 1 </w:t>
      </w:r>
    </w:p>
    <w:p>
      <w:pPr>
        <w:pStyle w:val="TextBody"/>
        <w:bidi w:val="0"/>
        <w:spacing w:before="0" w:after="0"/>
        <w:jc w:val="center"/>
        <w:rPr>
          <w:rFonts w:ascii="Times New Roman" w:hAnsi="Times New Roman"/>
          <w:b/>
          <w:sz w:val="34"/>
        </w:rPr>
      </w:pPr>
      <w:r>
        <w:rPr>
          <w:rFonts w:ascii="Times New Roman" w:hAnsi="Times New Roman"/>
          <w:b/>
          <w:sz w:val="34"/>
        </w:rPr>
        <w:t xml:space="preserve">to </w:t>
      </w:r>
    </w:p>
    <w:p>
      <w:pPr>
        <w:pStyle w:val="TextBody"/>
        <w:bidi w:val="0"/>
        <w:spacing w:before="0" w:after="0"/>
        <w:jc w:val="center"/>
        <w:rPr>
          <w:rFonts w:ascii="Times New Roman" w:hAnsi="Times New Roman"/>
          <w:b/>
          <w:sz w:val="34"/>
        </w:rPr>
      </w:pPr>
      <w:r>
        <w:rPr>
          <w:rFonts w:ascii="Times New Roman" w:hAnsi="Times New Roman"/>
          <w:b/>
          <w:sz w:val="34"/>
        </w:rPr>
        <w:t xml:space="preserve">FORM S-3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44"/>
        </w:rPr>
      </w:pPr>
      <w:r>
        <w:rPr>
          <w:rFonts w:ascii="Times New Roman" w:hAnsi="Times New Roman"/>
          <w:b/>
          <w:sz w:val="44"/>
        </w:rPr>
        <w:t xml:space="preserve">Aeva Technologies,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3714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84-3080757</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8"/>
        </w:rPr>
      </w:pPr>
      <w:r>
        <w:rPr>
          <w:rFonts w:ascii="Times New Roman" w:hAnsi="Times New Roman"/>
          <w:b/>
          <w:sz w:val="18"/>
        </w:rPr>
        <w:t xml:space="preserve">555 Ellis Street </w:t>
      </w:r>
    </w:p>
    <w:p>
      <w:pPr>
        <w:pStyle w:val="TextBody"/>
        <w:bidi w:val="0"/>
        <w:spacing w:before="0" w:after="0"/>
        <w:jc w:val="center"/>
        <w:rPr>
          <w:rFonts w:ascii="Times New Roman" w:hAnsi="Times New Roman"/>
          <w:b/>
          <w:sz w:val="18"/>
        </w:rPr>
      </w:pPr>
      <w:r>
        <w:rPr>
          <w:rFonts w:ascii="Times New Roman" w:hAnsi="Times New Roman"/>
          <w:b/>
          <w:sz w:val="18"/>
        </w:rPr>
        <w:t xml:space="preserve">Mountain View, California 94043 </w:t>
      </w:r>
    </w:p>
    <w:p>
      <w:pPr>
        <w:pStyle w:val="TextBody"/>
        <w:bidi w:val="0"/>
        <w:spacing w:before="0" w:after="0"/>
        <w:jc w:val="center"/>
        <w:rPr>
          <w:rFonts w:ascii="Times New Roman" w:hAnsi="Times New Roman"/>
          <w:b/>
          <w:sz w:val="18"/>
        </w:rPr>
      </w:pPr>
      <w:r>
        <w:rPr>
          <w:rFonts w:ascii="Times New Roman" w:hAnsi="Times New Roman"/>
          <w:b/>
          <w:sz w:val="18"/>
        </w:rPr>
        <w:t xml:space="preserve">(650) 481-7070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8"/>
        </w:rPr>
      </w:pPr>
      <w:r>
        <w:rPr>
          <w:rFonts w:ascii="Times New Roman" w:hAnsi="Times New Roman"/>
          <w:b/>
          <w:sz w:val="18"/>
        </w:rPr>
        <w:t xml:space="preserve">Soroush Salehian Dardashti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555 Ellis Street </w:t>
      </w:r>
    </w:p>
    <w:p>
      <w:pPr>
        <w:pStyle w:val="TextBody"/>
        <w:bidi w:val="0"/>
        <w:spacing w:before="0" w:after="0"/>
        <w:jc w:val="center"/>
        <w:rPr>
          <w:rFonts w:ascii="Times New Roman" w:hAnsi="Times New Roman"/>
          <w:b/>
          <w:sz w:val="18"/>
        </w:rPr>
      </w:pPr>
      <w:r>
        <w:rPr>
          <w:rFonts w:ascii="Times New Roman" w:hAnsi="Times New Roman"/>
          <w:b/>
          <w:sz w:val="18"/>
        </w:rPr>
        <w:t xml:space="preserve">Mountain View, California 94043 </w:t>
      </w:r>
    </w:p>
    <w:p>
      <w:pPr>
        <w:pStyle w:val="TextBody"/>
        <w:bidi w:val="0"/>
        <w:spacing w:before="0" w:after="0"/>
        <w:jc w:val="center"/>
        <w:rPr>
          <w:rFonts w:ascii="Times New Roman" w:hAnsi="Times New Roman"/>
          <w:b/>
          <w:sz w:val="18"/>
        </w:rPr>
      </w:pPr>
      <w:r>
        <w:rPr>
          <w:rFonts w:ascii="Times New Roman" w:hAnsi="Times New Roman"/>
          <w:b/>
          <w:sz w:val="18"/>
        </w:rPr>
        <w:t xml:space="preserve">(650) 481-7070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i/>
          <w:sz w:val="18"/>
        </w:rPr>
      </w:pPr>
      <w:r>
        <w:rPr>
          <w:rFonts w:ascii="Times New Roman" w:hAnsi="Times New Roman"/>
          <w:b/>
          <w:i/>
          <w:sz w:val="18"/>
        </w:rPr>
        <w:t xml:space="preserve">With copies to: </w:t>
      </w:r>
    </w:p>
    <w:p>
      <w:pPr>
        <w:pStyle w:val="TextBody"/>
        <w:bidi w:val="0"/>
        <w:spacing w:before="40" w:after="0"/>
        <w:jc w:val="center"/>
        <w:rPr>
          <w:rFonts w:ascii="Times New Roman" w:hAnsi="Times New Roman"/>
          <w:b/>
          <w:sz w:val="18"/>
        </w:rPr>
      </w:pPr>
      <w:r>
        <w:rPr>
          <w:rFonts w:ascii="Times New Roman" w:hAnsi="Times New Roman"/>
          <w:b/>
          <w:sz w:val="18"/>
        </w:rPr>
        <w:t xml:space="preserve">Heidi Mayon </w:t>
      </w:r>
    </w:p>
    <w:p>
      <w:pPr>
        <w:pStyle w:val="TextBody"/>
        <w:bidi w:val="0"/>
        <w:spacing w:before="0" w:after="0"/>
        <w:jc w:val="center"/>
        <w:rPr>
          <w:rFonts w:ascii="Times New Roman" w:hAnsi="Times New Roman"/>
          <w:b/>
          <w:sz w:val="18"/>
        </w:rPr>
      </w:pPr>
      <w:r>
        <w:rPr>
          <w:rFonts w:ascii="Times New Roman" w:hAnsi="Times New Roman"/>
          <w:b/>
          <w:sz w:val="18"/>
        </w:rPr>
        <w:t xml:space="preserve">Simpson Thacher &amp; Bartlett LLP </w:t>
      </w:r>
    </w:p>
    <w:p>
      <w:pPr>
        <w:pStyle w:val="TextBody"/>
        <w:bidi w:val="0"/>
        <w:spacing w:before="0" w:after="0"/>
        <w:jc w:val="center"/>
        <w:rPr>
          <w:rFonts w:ascii="Times New Roman" w:hAnsi="Times New Roman"/>
          <w:b/>
          <w:sz w:val="18"/>
        </w:rPr>
      </w:pPr>
      <w:r>
        <w:rPr>
          <w:rFonts w:ascii="Times New Roman" w:hAnsi="Times New Roman"/>
          <w:b/>
          <w:sz w:val="18"/>
        </w:rPr>
        <w:t xml:space="preserve">2475 Hanover Street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California 94304 </w:t>
      </w:r>
    </w:p>
    <w:p>
      <w:pPr>
        <w:pStyle w:val="TextBody"/>
        <w:bidi w:val="0"/>
        <w:spacing w:before="0" w:after="0"/>
        <w:jc w:val="center"/>
        <w:rPr>
          <w:rFonts w:ascii="Times New Roman" w:hAnsi="Times New Roman"/>
          <w:b/>
          <w:sz w:val="18"/>
        </w:rPr>
      </w:pPr>
      <w:r>
        <w:rPr>
          <w:rFonts w:ascii="Times New Roman" w:hAnsi="Times New Roman"/>
          <w:b/>
          <w:sz w:val="18"/>
        </w:rPr>
        <w:t xml:space="preserve">Tel: (650) 251-5000 </w:t>
      </w:r>
    </w:p>
    <w:p>
      <w:pPr>
        <w:pStyle w:val="TextBody"/>
        <w:bidi w:val="0"/>
        <w:spacing w:before="0" w:after="0"/>
        <w:jc w:val="center"/>
        <w:rPr>
          <w:rFonts w:ascii="Times New Roman" w:hAnsi="Times New Roman"/>
          <w:b/>
          <w:sz w:val="18"/>
        </w:rPr>
      </w:pPr>
      <w:r>
        <w:rPr>
          <w:rFonts w:ascii="Times New Roman" w:hAnsi="Times New Roman"/>
          <w:b/>
          <w:sz w:val="18"/>
        </w:rPr>
        <w:t xml:space="preserve">Fax: (650) 251-5002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8"/>
        </w:rPr>
      </w:pPr>
      <w:r>
        <w:rPr>
          <w:rFonts w:ascii="Times New Roman" w:hAnsi="Times New Roman"/>
          <w:sz w:val="18"/>
        </w:rPr>
        <w:t xml:space="preserve">Approximate date of commencement of proposed sale to the public: </w:t>
      </w:r>
      <w:r>
        <w:rPr>
          <w:rFonts w:ascii="Times New Roman" w:hAnsi="Times New Roman"/>
          <w:b/>
          <w:sz w:val="18"/>
        </w:rPr>
        <w:t>From time to time after the effective date of this Registration Statement.</w:t>
      </w:r>
      <w:r>
        <w:rPr>
          <w:rFonts w:ascii="Times New Roman" w:hAnsi="Times New Roman"/>
          <w:sz w:val="18"/>
        </w:rPr>
        <w:t xml:space="preserve"> </w:t>
      </w:r>
    </w:p>
    <w:p>
      <w:pPr>
        <w:pStyle w:val="TextBody"/>
        <w:bidi w:val="0"/>
        <w:spacing w:before="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6"/>
        <w:gridCol w:w="104"/>
        <w:gridCol w:w="4834"/>
        <w:gridCol w:w="133"/>
        <w:gridCol w:w="2607"/>
        <w:gridCol w:w="104"/>
        <w:gridCol w:w="267"/>
      </w:tblGrid>
      <w:tr>
        <w:trPr/>
        <w:tc>
          <w:tcPr>
            <w:tcW w:w="215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3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51,802,299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9060" cy="1346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 cy="1346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Aeva Technologies,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left"/>
        <w:rPr>
          <w:rFonts w:ascii="Times New Roman" w:hAnsi="Times New Roman"/>
          <w:sz w:val="20"/>
        </w:rPr>
      </w:pPr>
      <w:r>
        <w:rPr>
          <w:rFonts w:ascii="Times New Roman" w:hAnsi="Times New Roman"/>
          <w:sz w:val="20"/>
        </w:rPr>
        <w:t>This prospectus relates to the offer and sale from time to time, on a resale basis, by the Selling Stockholders identified herein (the </w:t>
      </w:r>
      <w:r>
        <w:rPr>
          <w:rFonts w:ascii="Times New Roman" w:hAnsi="Times New Roman"/>
          <w:i/>
          <w:sz w:val="20"/>
        </w:rPr>
        <w:t>Selling Stockholders</w:t>
      </w:r>
      <w:r>
        <w:rPr>
          <w:rFonts w:ascii="Times New Roman" w:hAnsi="Times New Roman"/>
          <w:sz w:val="20"/>
        </w:rPr>
        <w:t>) or their permitted transferees, of up to an aggregate of 51,802,299 shares of our common stock, par value $0.0001 per share (</w:t>
      </w:r>
      <w:r>
        <w:rPr>
          <w:rFonts w:ascii="Times New Roman" w:hAnsi="Times New Roman"/>
          <w:i/>
          <w:sz w:val="20"/>
        </w:rPr>
        <w:t>Common Stock</w:t>
      </w:r>
      <w:r>
        <w:rPr>
          <w:rFonts w:ascii="Times New Roman" w:hAnsi="Times New Roman"/>
          <w:sz w:val="20"/>
        </w:rPr>
        <w:t>), consisting of: (i) 36,802,299 shares of Common Stock that are issued and outstanding (the </w:t>
      </w:r>
      <w:r>
        <w:rPr>
          <w:rFonts w:ascii="Times New Roman" w:hAnsi="Times New Roman"/>
          <w:i/>
          <w:sz w:val="20"/>
        </w:rPr>
        <w:t>Private Placement Common Stock</w:t>
      </w:r>
      <w:r>
        <w:rPr>
          <w:rFonts w:ascii="Times New Roman" w:hAnsi="Times New Roman"/>
          <w:sz w:val="20"/>
        </w:rPr>
        <w:t>) and (ii) 15,000,000 shares of Common Stock issuable upon exercise of Series A warrants held by certain Selling Stockholders (the </w:t>
      </w:r>
      <w:r>
        <w:rPr>
          <w:rFonts w:ascii="Times New Roman" w:hAnsi="Times New Roman"/>
          <w:i/>
          <w:sz w:val="20"/>
        </w:rPr>
        <w:t>Series A Warrants</w:t>
      </w:r>
      <w:r>
        <w:rPr>
          <w:rFonts w:ascii="Times New Roman" w:hAnsi="Times New Roman"/>
          <w:sz w:val="20"/>
        </w:rPr>
        <w:t>). The shares of Private Placement Common Stock were issued to the Selling Stockholders in connection with a private placement we completed on November 13, 2023 (the </w:t>
      </w:r>
      <w:r>
        <w:rPr>
          <w:rFonts w:ascii="Times New Roman" w:hAnsi="Times New Roman"/>
          <w:i/>
          <w:sz w:val="20"/>
        </w:rPr>
        <w:t>Private Placement</w:t>
      </w:r>
      <w:r>
        <w:rPr>
          <w:rFonts w:ascii="Times New Roman" w:hAnsi="Times New Roman"/>
          <w:sz w:val="20"/>
        </w:rPr>
        <w:t>). The Series A Warrant was issued in connection with that certain Standby Equity Purchase Agreement dated November 8, 2023 between us and entities affiliated with Sylebra Capital (the </w:t>
      </w:r>
      <w:r>
        <w:rPr>
          <w:rFonts w:ascii="Times New Roman" w:hAnsi="Times New Roman"/>
          <w:i/>
          <w:sz w:val="20"/>
        </w:rPr>
        <w:t>Facility Agreement</w:t>
      </w:r>
      <w:r>
        <w:rPr>
          <w:rFonts w:ascii="Times New Roman" w:hAnsi="Times New Roman"/>
          <w:sz w:val="20"/>
        </w:rPr>
        <w:t xml:space="preserve">). The issuance of the Series A Warrant was approved by our stockholders on December 18, 2023.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by the Selling Stockholders of the Common Stock. Upon any exercise of the Series A Warrants by payment of cash, however, we will receive the exercise price of the Series A Warrants. The Selling Stockholders from time to time may offer and sell the shares held by them directly or through underwriters, agents or broker-dealers on terms to be determined at the time of sale, as described in more detail in this prospectus. For more information,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and warrants are listed on NYSE under the symbols AEVA and AEVA.WS, respectively. On January 26, 2024, the last reported sale price of the common stock as reported on the NYSE was $0.86 per share and the last reported sale price of our warrants was $0.06. </w:t>
      </w:r>
    </w:p>
    <w:p>
      <w:pPr>
        <w:pStyle w:val="TextBody"/>
        <w:bidi w:val="0"/>
        <w:spacing w:before="240" w:after="0"/>
        <w:jc w:val="left"/>
        <w:rPr/>
      </w:pPr>
      <w:r>
        <w:rPr>
          <w:rFonts w:ascii="Times New Roman" w:hAnsi="Times New Roman"/>
          <w:b/>
          <w:sz w:val="24"/>
        </w:rPr>
        <w:t>Investing in the common stock involves risks. Before making a decision to invest in the common stock, you should refer to the risk factors included in our periodic reports, in prospectus supplements relating to specific offerings and in other information that we file with the Securities and Exchange Commission (the </w:t>
      </w:r>
      <w:r>
        <w:rPr>
          <w:rFonts w:ascii="Times New Roman" w:hAnsi="Times New Roman"/>
          <w:b/>
          <w:i/>
          <w:sz w:val="24"/>
        </w:rPr>
        <w:t>SEC</w:t>
      </w:r>
      <w:r>
        <w:rPr>
          <w:rFonts w:ascii="Times New Roman" w:hAnsi="Times New Roman"/>
          <w:b/>
          <w:sz w:val="24"/>
        </w:rPr>
        <w:t>). See </w:t>
      </w:r>
      <w:hyperlink w:anchor="toc90746_2">
        <w:r>
          <w:rPr>
            <w:rStyle w:val="InternetLink"/>
            <w:rFonts w:ascii="Times New Roman" w:hAnsi="Times New Roman"/>
            <w:b/>
            <w:sz w:val="24"/>
          </w:rPr>
          <w:t>Risk Factors</w:t>
        </w:r>
      </w:hyperlink>
      <w:r>
        <w:rPr>
          <w:rFonts w:ascii="Times New Roman" w:hAnsi="Times New Roman"/>
          <w:b/>
          <w:sz w:val="24"/>
        </w:rPr>
        <w:t xml:space="preserve"> on page 4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other regulatory body has approved or disapproved of these securities or passed upon the accuracy or adequacy of this prospectus. Any representation to the contrary is a criminal offense. </w:t>
      </w:r>
    </w:p>
    <w:p>
      <w:pPr>
        <w:pStyle w:val="TextBody"/>
        <w:bidi w:val="0"/>
        <w:spacing w:before="480" w:after="0"/>
        <w:jc w:val="center"/>
        <w:rPr>
          <w:rFonts w:ascii="Times New Roman" w:hAnsi="Times New Roman"/>
          <w:b/>
          <w:sz w:val="20"/>
        </w:rPr>
      </w:pPr>
      <w:r>
        <w:rPr>
          <w:rFonts w:ascii="Times New Roman" w:hAnsi="Times New Roman"/>
          <w:b/>
          <w:sz w:val="20"/>
        </w:rPr>
        <w:t xml:space="preserve">Prospectus dated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1">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2">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3">
              <w:r>
                <w:rPr>
                  <w:rStyle w:val="InternetLink"/>
                  <w:rFonts w:ascii="Times New Roman" w:hAnsi="Times New Roman"/>
                  <w:sz w:val="20"/>
                </w:rPr>
                <w:t>Forward-Looking Statements and Risk Factor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4">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5">
              <w:r>
                <w:rPr>
                  <w:rStyle w:val="InternetLink"/>
                  <w:rFonts w:ascii="Times New Roman" w:hAnsi="Times New Roman"/>
                  <w:sz w:val="20"/>
                </w:rPr>
                <w:t>Determination of Offering Price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6">
              <w:r>
                <w:rPr>
                  <w:rStyle w:val="InternetLink"/>
                  <w:rFonts w:ascii="Times New Roman" w:hAnsi="Times New Roman"/>
                  <w:sz w:val="20"/>
                </w:rPr>
                <w:t>Selling Stockholders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7">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8">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9">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10">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90746_11">
              <w:r>
                <w:rPr>
                  <w:rStyle w:val="InternetLink"/>
                  <w:rFonts w:ascii="Times New Roman" w:hAnsi="Times New Roman"/>
                  <w:sz w:val="20"/>
                </w:rPr>
                <w:t>Information Incorporated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Stockholders have authorized anyone to provide you with information different from that contained or incorporated by reference in this prospectus, any amendment or supplement to this prospectus or any free writing prospectus prepared by us or on our behalf. Neither we nor the Selling Stockholders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on our behalf. The Selling Stockholders are not offering to sell shares of the common stock in any jurisdiction where an offer or sale is not permitted. The information contained in or incorporated by reference in this prospectus is accurate only as of the date of this prospectus, regardless of the time of delivery of this prospectus, any amendment or supplement to this prospectus or any sale of shares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have filed with the SEC using a shelf registration process. Under the shelf registration process, the Selling Stockholders may, from time to time, offer and sell the shares of common stock described in this prospectus and in any accompanying prospectus supplement in one or more transactions. This prospectus provides you with a general description of the shares of common stock the Selling Stockholders may offer. Each time the Selling Stockholders sell shares of the common stock using this prospectus, to the extent necessary, we will provide a prospectus supplement that will contain specific information about the terms of that offering, including the number of shares being offered, the manner of distribution, the identity of any underwriters or other counterparties and other specific terms related to the offering. The prospectus supplement may also add, update or change information contained or incorporated by reference in this prospectus. To the extent that any statement made in an accompanying prospectus supplement is inconsistent with statements made in this prospectus, the statements made in this prospectus will be deemed modified or superseded by those made in the accompanying prospectus supplement. You should read both this prospectus and any prospectus supplement together, along with the information incorporated by reference herein or therein and any free writing prospectus prepared by us or on our behalf.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Stockholders have done anything that would permit the offering, possession or distribution of this prospectus in any jurisdiction where action for that purpose is required, other than in the United States. You are required to inform yourselves about and to observe any restrictions relating to the offering, possession or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90746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or any prospectus supplement and does not contain all of the information you should consider before investing in shares of the common stock. You should read this entire prospectus, any prospectus supplement and the documents incorporated herein or therein carefully, including the section entitled Risk Factors and the financial statements and the related notes incorporated by reference into this prospectus, before you decide to invest in shares of the common stock.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indicated or the context otherwise requires, references in this prospectus to Company, Aeva, we, us and our means Aeva Technologies, Inc. and its consolidated subsidiaries.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vision is to bring perception to broad applications. Through our Frequency Modulated Continuous Wave (</w:t>
      </w:r>
      <w:r>
        <w:rPr>
          <w:rFonts w:ascii="Times New Roman" w:hAnsi="Times New Roman"/>
          <w:i/>
          <w:sz w:val="20"/>
          <w:bdr w:val="single" w:sz="8" w:space="1" w:color="000000"/>
        </w:rPr>
        <w:t>FMCW</w:t>
      </w:r>
      <w:r>
        <w:rPr>
          <w:rFonts w:ascii="Times New Roman" w:hAnsi="Times New Roman"/>
          <w:sz w:val="20"/>
          <w:bdr w:val="single" w:sz="8" w:space="1" w:color="000000"/>
        </w:rPr>
        <w:t xml:space="preserve">) sensing technology, we believe we are introducing the worlds first 4D LiDAR-on-chip that, along with our proprietary software applications, have the potential to enable the adoption of LiDAR across broad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to industrial automation, consumer device applications, and security. Our 4D LiDAR-on-chip combines silicon photonics technology that is proven in the telecom industry with precise instant velocity measurements and long-range performance for commercialization.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 a development stage company, we work closely with our customers on the development and commercialization of their programs and the utilization of our products in such programs. Thus far, our customers have purchased prototype products and engineering services from us for use in their research and development programs. We are expanding our manufacturing capacity through third-party manufacturers to meet our customers anticipated demand for the production of our products.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Unlike legacy 3D LiDAR, which relies on Time-of-Flight (</w:t>
      </w:r>
      <w:r>
        <w:rPr>
          <w:rFonts w:ascii="Times New Roman" w:hAnsi="Times New Roman"/>
          <w:i/>
          <w:sz w:val="20"/>
          <w:bdr w:val="single" w:sz="8" w:space="1" w:color="000000"/>
        </w:rPr>
        <w:t>ToF</w:t>
      </w:r>
      <w:r>
        <w:rPr>
          <w:rFonts w:ascii="Times New Roman" w:hAnsi="Times New Roman"/>
          <w:sz w:val="20"/>
          <w:bdr w:val="single" w:sz="8" w:space="1" w:color="000000"/>
        </w:rPr>
        <w:t>)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or, the beams and sunlight, and our core innovations within FMCW are intended to enable vehicles to see at significantly higher distances of up to 500 meters.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the advantages of our 4D LiDAR-on-chip allow us to provide the first LiDAR solution that is fully integrated onto a chip with superior performance at scale, with the potential to enable higher level of automation for vehicles and the potential to drive new categories of perception across industrial automation, consumer device applications, and security markets.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Common Stock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November 8, 2023, we entered into Subscription Agreements (the </w:t>
      </w:r>
      <w:r>
        <w:rPr>
          <w:rFonts w:ascii="Times New Roman" w:hAnsi="Times New Roman"/>
          <w:i/>
          <w:sz w:val="20"/>
          <w:bdr w:val="single" w:sz="8" w:space="1" w:color="000000"/>
        </w:rPr>
        <w:t>Subscription Agreements</w:t>
      </w:r>
      <w:r>
        <w:rPr>
          <w:rFonts w:ascii="Times New Roman" w:hAnsi="Times New Roman"/>
          <w:sz w:val="20"/>
          <w:bdr w:val="single" w:sz="8" w:space="1" w:color="000000"/>
        </w:rPr>
        <w:t>) providing for the purchase of an aggregate of 36,802,299 shares of our Common Stock at a price of $0.58 per PIPE Share (the </w:t>
      </w:r>
      <w:r>
        <w:rPr>
          <w:rFonts w:ascii="Times New Roman" w:hAnsi="Times New Roman"/>
          <w:i/>
          <w:sz w:val="20"/>
          <w:bdr w:val="single" w:sz="8" w:space="1" w:color="000000"/>
        </w:rPr>
        <w:t>Purchase Price</w:t>
      </w:r>
      <w:r>
        <w:rPr>
          <w:rFonts w:ascii="Times New Roman" w:hAnsi="Times New Roman"/>
          <w:sz w:val="20"/>
          <w:bdr w:val="single" w:sz="8" w:space="1" w:color="000000"/>
        </w:rPr>
        <w:t>) for an aggregate Purchase Price of approximately $21.4 million (the </w:t>
      </w:r>
      <w:r>
        <w:rPr>
          <w:rFonts w:ascii="Times New Roman" w:hAnsi="Times New Roman"/>
          <w:i/>
          <w:sz w:val="20"/>
          <w:bdr w:val="single" w:sz="8" w:space="1" w:color="000000"/>
        </w:rPr>
        <w:t>Private Placement</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Pursuant to the Subscription Agreements, entities affiliated with Sylebra Capital Limited (</w:t>
      </w:r>
      <w:r>
        <w:rPr>
          <w:rFonts w:ascii="Times New Roman" w:hAnsi="Times New Roman"/>
          <w:i/>
          <w:sz w:val="20"/>
          <w:bdr w:val="single" w:sz="8" w:space="1" w:color="000000"/>
        </w:rPr>
        <w:t>Sylebra</w:t>
      </w:r>
      <w:r>
        <w:rPr>
          <w:rFonts w:ascii="Times New Roman" w:hAnsi="Times New Roman"/>
          <w:sz w:val="20"/>
          <w:bdr w:val="single" w:sz="8" w:space="1" w:color="000000"/>
        </w:rPr>
        <w:t xml:space="preserve">) agreed to purchase 24,795,027 shares of Common Stock for a total purchase price of approximately $14.4 million and Adage Capital Management agreed to purchase 12,007,272 shares of common stock for a total purchase price of approximately $7 million.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Standby Equity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November 8, 2023, we entered into the Facility Agreement with entities affiliated with Sylebra. Pursuant to the Facility Agreement, we will have the right, but not the obligation, to sell to Sylebra up to $125,000,000 of shares of its preferred stock, at our request until November 8, 2026, upon the satisfaction of certain conditions. Each sale we request under the Facility Agreement (each, an </w:t>
      </w:r>
      <w:r>
        <w:rPr>
          <w:rFonts w:ascii="Times New Roman" w:hAnsi="Times New Roman"/>
          <w:i/>
          <w:sz w:val="20"/>
          <w:bdr w:val="single" w:sz="8" w:space="1" w:color="000000"/>
        </w:rPr>
        <w:t>Advance</w:t>
      </w:r>
      <w:r>
        <w:rPr>
          <w:rFonts w:ascii="Times New Roman" w:hAnsi="Times New Roman"/>
          <w:sz w:val="20"/>
          <w:bdr w:val="single" w:sz="8" w:space="1" w:color="000000"/>
        </w:rPr>
        <w:t> and collectively, the </w:t>
      </w:r>
      <w:r>
        <w:rPr>
          <w:rFonts w:ascii="Times New Roman" w:hAnsi="Times New Roman"/>
          <w:i/>
          <w:sz w:val="20"/>
          <w:bdr w:val="single" w:sz="8" w:space="1" w:color="000000"/>
        </w:rPr>
        <w:t>Advances</w:t>
      </w:r>
      <w:r>
        <w:rPr>
          <w:rFonts w:ascii="Times New Roman" w:hAnsi="Times New Roman"/>
          <w:sz w:val="20"/>
          <w:bdr w:val="single" w:sz="8" w:space="1" w:color="000000"/>
        </w:rPr>
        <w:t xml:space="preserve">) may be for a number of shares of preferred stock with an aggregate value of at least $25,000,000 but not more than $50,000,000 (except with Sylebras consent).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rights, preferences and privileges of the preferred stock will be set out in the certificate of designation. When and if issued, the preferred stock will be issued at a price per share of $10,000. Holders of the preferred stock will be entitled to a quarterly dividend at the rate of 7.0% per annum payable in cash or in kind at the option of the Company. The preferred stock will have an initial liquidation preference of 120% of the issuance price, plus accrued dividends. The preferred stock will have no voting rights as a class or series except in such instances as required by Delaware law or certain matters enumerated in the certificate of designations related to the protection of the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preferred stock will be convertible at the option of the holders into a number of shares of Common Stock equal to $10,000 divided by the then-applicable conversion price, which will be equal to the lesser of (i) the average five day closing price from the date of Advance, or (ii) the closing price per share of Common Stock on the date of each Advance subject to certain customary anti-dilution adjustments. At any time after the two year anniversary of any issuance of any series of preferred stock, we will have the option to convert all (but not less than all) of any series of then-outstanding preferred stock by paying a make-whole payment, in either stock or cash, equal to three years of dividends, provided that the closing price of the Common Stock exceeds 250% of the then-applicable conversion price for at least 20 out of 30 consecutive trading days prior to the date of conversion. To the extent, if any, a conversion would result any the holder thereof becoming the beneficial owner of more than 19.9% of our outstanding Common Stock, we will issue the investor a warrant. The preferred stock will be subject to customary pre-emptive rights.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right to request Advances is conditioned upon us achieving a minimum of one new passenger auto-OEM or commercial OEM program award with at least a 50,000 unit volume, the trading price of the Common Stock being below $3.00 at the time of the Advance request and other customary conditions.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paid Sylebra a facility fee in the amount of $2,500,000, an origination fee in the amount of $625,000, and an administrative fee in the amount of $312,500 and reimbursed Sylebra for its reasonable fees and expenses in connection with the Facility Agreement in an amount not to exceed $350,000. We also issued Sylebra a warrant to purchase 15,000,000 shares of Common Stock at an exercise price of $1.00 per share (the </w:t>
      </w:r>
      <w:r>
        <w:rPr>
          <w:rFonts w:ascii="Times New Roman" w:hAnsi="Times New Roman"/>
          <w:i/>
          <w:sz w:val="20"/>
          <w:bdr w:val="single" w:sz="8" w:space="1" w:color="000000"/>
        </w:rPr>
        <w:t>Series A Warrant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offices are located at 555 Ellis Street, Mountain View, CA 94043, and our telephone number is (650) 481-7070. Our website address is www.aeva. The information contained on, or that can be accessed through, our website is not part of this prospectus. Aeva is our registered trademark in the United States and in various international jurisdictions. Aeva, the Aeva logo and all of our product names appearing in this report are our trademarks. Other trademarks appearing in this report are the property of their respective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8" w:type="dxa"/>
            <w:tcBorders/>
          </w:tcPr>
          <w:p>
            <w:pPr>
              <w:pStyle w:val="TableContents"/>
              <w:bidi w:val="0"/>
              <w:spacing w:before="0" w:after="283"/>
              <w:jc w:val="left"/>
              <w:rPr/>
            </w:pPr>
            <w:r>
              <w:rPr/>
              <w:t xml:space="preserve">Up to 51,802,299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outstanding as of December 31, 2023 </w:t>
            </w:r>
          </w:p>
        </w:tc>
        <w:tc>
          <w:tcPr>
            <w:tcW w:w="6329" w:type="dxa"/>
            <w:tcBorders/>
          </w:tcPr>
          <w:p>
            <w:pPr>
              <w:pStyle w:val="TableContents"/>
              <w:bidi w:val="0"/>
              <w:spacing w:before="0" w:after="283"/>
              <w:jc w:val="left"/>
              <w:rPr/>
            </w:pPr>
            <w:r>
              <w:rPr/>
              <w:t xml:space="preserve">261,889,019 shares of common stock as of December 31, 2023. Does not reflect 15,000,000 shares of common stock underlying the Series A Warrants; 12,458,876 shares of common stock underlying warrants; 35,604,709 shares of common stock underlying restricted stock units outstanding; 12,073,577 shares of common stock underlying stock options outstanding and 8,659,181 shares of common stock available for future issuance under our equity compensations plans.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The Selling Stockholders will receive all of the proceeds of the sale of shares of common stock offered from time to time pursuant to this prospectus. Accordingly, we will not receive any proceeds from the sale of shares of common stock that may be sold from time to time pursuant to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the common stock involves a high degree of risk. Before making a decision to invest in the common stock, you should refer to the risk factors contained in or incorporated by reference under Risk Factors on page 5 of this prospectus and under similar headings in other documents that are incorporated by reference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NYSE symbol </w:t>
            </w:r>
          </w:p>
        </w:tc>
        <w:tc>
          <w:tcPr>
            <w:tcW w:w="6331" w:type="dxa"/>
            <w:tcBorders/>
          </w:tcPr>
          <w:p>
            <w:pPr>
              <w:pStyle w:val="TableContents"/>
              <w:bidi w:val="0"/>
              <w:spacing w:before="0" w:after="283"/>
              <w:jc w:val="left"/>
              <w:rPr/>
            </w:pPr>
            <w:r>
              <w:rPr/>
              <w:t xml:space="preserve">AEVA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90746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common stock involves risks. You should carefully consider the risks and uncertainties described in our most recent Annual Report on Form 10-K and our subsequent Quarterly Reports on Form 10-Q, which are incorporated by reference herein, as the same may be updated from time to time by our subsequent filings under the Exchange Act. You should also carefully consider the other information contained in this prospectus, as updated by our subsequent filings under the Exchange Act, and the risk factors and other information contained in any applicable prospectus supplement before acquiring any shares of the common stock. These risks could materially affect our business, results of operations or financial condition and cause the value of the common stock to decline. You could lose all or part of your investment. </w:t>
      </w:r>
    </w:p>
    <w:p>
      <w:pPr>
        <w:pStyle w:val="TextBody"/>
        <w:bidi w:val="0"/>
        <w:spacing w:before="480" w:after="0"/>
        <w:jc w:val="center"/>
        <w:rPr>
          <w:rFonts w:ascii="Times New Roman" w:hAnsi="Times New Roman"/>
          <w:b/>
          <w:sz w:val="20"/>
        </w:rPr>
      </w:pPr>
      <w:bookmarkStart w:id="5" w:name="toc90746_3"/>
      <w:bookmarkEnd w:id="5"/>
      <w:r>
        <w:rPr>
          <w:rFonts w:ascii="Times New Roman" w:hAnsi="Times New Roman"/>
          <w:b/>
          <w:sz w:val="20"/>
        </w:rPr>
        <w:t xml:space="preserve">FORWARD-LOOKING STATEMENTS AND RISK FACTOR SUMMARY </w:t>
      </w:r>
    </w:p>
    <w:p>
      <w:pPr>
        <w:pStyle w:val="TextBody"/>
        <w:bidi w:val="0"/>
        <w:spacing w:before="240" w:after="0"/>
        <w:jc w:val="left"/>
        <w:rPr>
          <w:rFonts w:ascii="Times New Roman" w:hAnsi="Times New Roman"/>
          <w:sz w:val="20"/>
        </w:rPr>
      </w:pPr>
      <w:r>
        <w:rPr>
          <w:rFonts w:ascii="Times New Roman" w:hAnsi="Times New Roman"/>
          <w:sz w:val="20"/>
        </w:rPr>
        <w:t>This report contains forward-looking statements within the meaning of Section 27A of the Securities Act and Section 21E of the Securities Exchange Act of 1934, as amended (the </w:t>
      </w:r>
      <w:r>
        <w:rPr>
          <w:rFonts w:ascii="Times New Roman" w:hAnsi="Times New Roman"/>
          <w:i/>
          <w:sz w:val="20"/>
        </w:rPr>
        <w:t>Exchange Act</w:t>
      </w:r>
      <w:r>
        <w:rPr>
          <w:rFonts w:ascii="Times New Roman" w:hAnsi="Times New Roman"/>
          <w:sz w:val="20"/>
        </w:rPr>
        <w:t xml:space="preserve">) regarding future events and our future results that are subject to the safe harbors created under the Securities Act and the Exchange Act. All statements contained in this report other than statements of historical fact, including statements regarding our future results of operations and financial position, the expected impact of the COVID-19 pandemic on our operations, our business strategy and plans, and our objectives for future operations,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those described under here and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w:t>
      </w:r>
    </w:p>
    <w:p>
      <w:pPr>
        <w:pStyle w:val="TextBody"/>
        <w:bidi w:val="0"/>
        <w:spacing w:before="480" w:after="0"/>
        <w:jc w:val="center"/>
        <w:rPr>
          <w:rFonts w:ascii="Times New Roman" w:hAnsi="Times New Roman"/>
          <w:b/>
          <w:sz w:val="20"/>
        </w:rPr>
      </w:pPr>
      <w:r>
        <w:rPr>
          <w:rFonts w:ascii="Times New Roman" w:hAnsi="Times New Roman"/>
          <w:b/>
          <w:sz w:val="20"/>
        </w:rPr>
        <w:t xml:space="preserve">Summary of Risk Factors </w:t>
      </w:r>
    </w:p>
    <w:p>
      <w:pPr>
        <w:pStyle w:val="TextBody"/>
        <w:bidi w:val="0"/>
        <w:spacing w:before="240" w:after="0"/>
        <w:jc w:val="left"/>
        <w:rPr>
          <w:rFonts w:ascii="Times New Roman" w:hAnsi="Times New Roman"/>
          <w:sz w:val="20"/>
        </w:rPr>
      </w:pPr>
      <w:r>
        <w:rPr>
          <w:rFonts w:ascii="Times New Roman" w:hAnsi="Times New Roman"/>
          <w:sz w:val="20"/>
        </w:rPr>
        <w:t>We are providing the following summary of the risk factors contained in our Annual Report on Form 10-K for the year ended December 31, 2022 (</w:t>
      </w:r>
      <w:r>
        <w:rPr>
          <w:rFonts w:ascii="Times New Roman" w:hAnsi="Times New Roman"/>
          <w:i/>
          <w:sz w:val="20"/>
        </w:rPr>
        <w:t>Annual Report on Form 10-K</w:t>
      </w:r>
      <w:r>
        <w:rPr>
          <w:rFonts w:ascii="Times New Roman" w:hAnsi="Times New Roman"/>
          <w:sz w:val="20"/>
        </w:rPr>
        <w:t xml:space="preserve">) to enhance the readability and accessibility of our risk factor disclosures. We encourage you to carefully review the full risk factors contained in our most recent Annual Report on Form 10-K and our subsequent Quarterly Reports on Form 10-Q, which are incorporated by reference herein, in their entirety for additional information regarding the material factors that make an investment in our securities speculative or risky. Some of the factors, risks and uncertainties that might materially affect the forward-looking statements contained herein and may make an investment in our securities speculative or risky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 is an early stage company, with a history of losses, and has only sold or otherwise provided prototypes and non-recurring engineering services to customers for the purpose of R&amp;D and testing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customers development programs. If such programs are not fully developed and commercialized, or if such programs experience significant delays, Aevas business, financial condition and results of operations will be materially adversely affected and Aeva may never achieve or sustain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Aevas limited operating history makes it difficult to evaluate its future prospects and the risks and challenges it may encounter.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Aevas products are not selected for inclusion in development programs, including development programs for assisted driving systems or autonomous driving systems, are not adopted by automotive OEMs, automotive tier 1 companies, mobility or technology companies or their respective suppliers, Aevas business will be materially and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 relies on third-party suppliers. Because some of the raw materials and key components in its products come from limited or single source suppliers, Aeva is susceptible to supply shortages, long lead times for components, and supply changes, any of which could disrupt its supply chain and could delay deliveries of its products to customers, which could adversely affect Aevas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 expects to incur substantial R&amp;D costs and devote significant resources to identifying and commercializing new products, which could significantly reduce its profitability or increase its losses and may never result in revenue to Aeva.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Despite the actions Aeva is taking to defend and protect its intellectual property, Aeva may not be able to adequately protect or enforce its intellectual property rights or prevent unauthorized parties from copying or reverse engineering its products or technology. Aevas efforts to protect and enforce its intellectual property rights and prevent third parties from violating its rights may be costly.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adoption of LiDAR, including Aevas 4D LiDAR technology, is uncertain.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market adoption of LiDAR, including Aevas 4D LiDAR technology, does not continue to develop, or develops more slowly than Aeva expects, its business will be adversely affected. Aeva may experience difficulties in managing its growth and expanding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Aevas transition to an outsourced manufacturing business model may not be successful, which could harm its ability to deliver products and recognize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Aevas sales and operations in international markets expose it to operational, financial and regulatory risks, including possible unfavorable regulatory, political, tax and labor conditions, which could harm Aevas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Aevas business could be materially and adversely affected by the ongoing coronavirus (COVID-19) pandemic or other infectious diseases, health epidemics, pandemics and natural disasters.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 may be subject to product liability or warranty claims that could result in significant direct or indirect costs, which could adversely affect its business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Aevas business could be materially and adversely affected if it lost any of its largest customers or if they were unable to pay their invoices.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 operates in a highly competitive market and some market participants have substantially greater resources. Aeva competes against a large number of both established competitors and new market entrants with respect to, among other things, cost, product specifications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required to maintain effective internal control over financial reporting. If we are not able to maintain effective internal control or identify any material weakness or control deficiencies in the future, we may not be able to report our financial results accurately, prevent fraud or file our periodic reports in a timely manner, which may adversely affect investor confidence in our Company and, as a result, the value of the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alternative technology may adversely affect the demand for Aevas 4D LiDAR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Aeva is highly dependent on the services of Soroush Salehian Dardashti and Mina Rezk, its two founders.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affected by the interruption or failure of our information technology and communication systems and cybersecurity risks to our operational systems, security systems, infrastructure, integrated software in our LiDAR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instability exacerbated by geopolitical conflicts, including Russia and China, and including the effect of sanctions and trade restrictions may also affect Aevas supply chain or sales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lengthy period of time from a major commercial win to implementation, customer returns of our products, the risks of cancellation or postponement of the contract or unsuccessful implementation may impact Aevas operating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oc90746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receive all of the proceeds of the sale of shares of common stock offered from time to time pursuant to this prospectus. We will not receive any proceeds from the sale of shares of common stock that may be sold from time to time pursuant to this prospectus. However, we may receive up to $15,000,000 in proceeds upon payment of the exercise price of the Series A Warrant. We expect to use any proceeds that we receive from the exercise of the Series A Warrant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90746_5"/>
      <w:bookmarkEnd w:id="7"/>
      <w:r>
        <w:rPr>
          <w:rFonts w:ascii="Times New Roman" w:hAnsi="Times New Roman"/>
          <w:b/>
          <w:sz w:val="20"/>
        </w:rPr>
        <w:t xml:space="preserve">DETERMINATION OF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We cannot currently determine the price or prices at which shares of our Common Stock may be sold by the Selling Stockholders under this prospectus as the price will be determined by the prevailing public market price for shares of our Common Stock, by negotiations between the applicable Selling Stockholder and the buyers of our Common Stock in private transactions or as otherwise described in Plan of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90746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from time to time, on a resale basis, by the Selling Stockholders or their permitted transferees, of up to an aggregate of 51,802,299 shares of our Common Stock consisting of: (i) 36,802,299 shares of Common Stock that are issued and outstanding and (ii) 15,000,000 shares of Common Stock issuable upon exercise of Series A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offer and sell any or all of our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our Common Stock other than through a public sale. Except as otherwise described below and for the ownership of the shares of our Common Stock, the Selling Stockholders have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December 31, 2023 and is based on an aggregate of 261,889,019 shares of our Common Stock outstanding as of December 31, 2023. Beneficial ownership is determined in accordance with the rules of the SEC. Information concerning the Selling Stockholders may change from time to time, and any changed information will be set forth in supplements to this prospectus or a post-effective amendment to the registration statement to which this prospectus relates if and when necessary. The Selling Stockholders may offer all, some or none of their shares of the Common Stock. We cannot advise you as to whether the Selling Stockholders will in fact sell any or all of such shares of Common Stock. In addition, the Selling Stockholders may have sold or transferred, in transactions pursuant to this prospectus or otherwise, some or all of their shares since the date as of which the information is presented in the table below. Information concerning the Selling Stockholders may change from time to time and any such changed information will, if required, be set forth in supplements to this prospectus or post-effective amendments to the registration statement of which this prospectus is a part, as may be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08"/>
        <w:gridCol w:w="220"/>
        <w:gridCol w:w="60"/>
        <w:gridCol w:w="1158"/>
        <w:gridCol w:w="352"/>
        <w:gridCol w:w="164"/>
        <w:gridCol w:w="202"/>
        <w:gridCol w:w="1111"/>
        <w:gridCol w:w="282"/>
        <w:gridCol w:w="164"/>
        <w:gridCol w:w="60"/>
        <w:gridCol w:w="1131"/>
        <w:gridCol w:w="60"/>
        <w:gridCol w:w="220"/>
        <w:gridCol w:w="261"/>
        <w:gridCol w:w="624"/>
        <w:gridCol w:w="123"/>
        <w:gridCol w:w="337"/>
        <w:gridCol w:w="383"/>
        <w:gridCol w:w="915"/>
        <w:gridCol w:w="70"/>
      </w:tblGrid>
      <w:tr>
        <w:trPr/>
        <w:tc>
          <w:tcPr>
            <w:tcW w:w="2308"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30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0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 Stock</w:t>
              <w:br/>
              <w:t>Beneficially Owned</w:t>
            </w:r>
          </w:p>
        </w:tc>
        <w:tc>
          <w:tcPr>
            <w:tcW w:w="282" w:type="dxa"/>
            <w:tcBorders/>
            <w:vAlign w:val="bottom"/>
          </w:tcPr>
          <w:p>
            <w:pPr>
              <w:pStyle w:val="TableContents"/>
              <w:bidi w:val="0"/>
              <w:spacing w:before="0" w:after="283"/>
              <w:jc w:val="left"/>
              <w:rPr/>
            </w:pPr>
            <w:r>
              <w:rPr/>
              <w:t> </w:t>
            </w:r>
          </w:p>
        </w:tc>
        <w:tc>
          <w:tcPr>
            <w:tcW w:w="164" w:type="dxa"/>
            <w:vMerge w:val="restart"/>
            <w:tcBorders/>
            <w:vAlign w:val="bottom"/>
          </w:tcPr>
          <w:p>
            <w:pPr>
              <w:pStyle w:val="TableContents"/>
              <w:bidi w:val="0"/>
              <w:spacing w:before="0" w:after="283"/>
              <w:jc w:val="left"/>
              <w:rPr/>
            </w:pPr>
            <w:r>
              <w:rPr/>
              <w:t> </w:t>
            </w:r>
          </w:p>
        </w:tc>
        <w:tc>
          <w:tcPr>
            <w:tcW w:w="119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w:t>
              <w:br/>
              <w:t>Common</w:t>
              <w:br/>
              <w:t>Stock that</w:t>
              <w:br/>
              <w:t>May be</w:t>
              <w:br/>
              <w:t>Offered for</w:t>
              <w:br/>
              <w:t>Resale</w:t>
            </w:r>
          </w:p>
        </w:tc>
        <w:tc>
          <w:tcPr>
            <w:tcW w:w="60" w:type="dxa"/>
            <w:vMerge w:val="restart"/>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6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 Beneficially</w:t>
              <w:br/>
              <w:t>Owned After the Sale</w:t>
              <w:br/>
              <w:t>of the Maximum</w:t>
              <w:br/>
              <w:t>Number of Shares of</w:t>
              <w:br/>
              <w:t>Common Stock</w:t>
            </w:r>
          </w:p>
        </w:tc>
        <w:tc>
          <w:tcPr>
            <w:tcW w:w="70" w:type="dxa"/>
            <w:tcBorders/>
            <w:vAlign w:val="bottom"/>
          </w:tcPr>
          <w:p>
            <w:pPr>
              <w:pStyle w:val="TableContents"/>
              <w:bidi w:val="0"/>
              <w:spacing w:before="0" w:after="283"/>
              <w:jc w:val="left"/>
              <w:rPr/>
            </w:pPr>
            <w:r>
              <w:rPr/>
              <w:t> </w:t>
            </w:r>
          </w:p>
        </w:tc>
      </w:tr>
      <w:tr>
        <w:trPr/>
        <w:tc>
          <w:tcPr>
            <w:tcW w:w="23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20"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3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w:t>
              <w:br/>
              <w:t>Stock</w:t>
              <w:br/>
              <w:t>Outstanding</w:t>
            </w:r>
          </w:p>
        </w:tc>
        <w:tc>
          <w:tcPr>
            <w:tcW w:w="282" w:type="dxa"/>
            <w:tcBorders/>
            <w:vAlign w:val="bottom"/>
          </w:tcPr>
          <w:p>
            <w:pPr>
              <w:pStyle w:val="TableContents"/>
              <w:bidi w:val="0"/>
              <w:spacing w:before="0" w:after="283"/>
              <w:jc w:val="left"/>
              <w:rPr/>
            </w:pPr>
            <w:r>
              <w:rPr/>
              <w:t> </w:t>
            </w:r>
          </w:p>
        </w:tc>
        <w:tc>
          <w:tcPr>
            <w:tcW w:w="164" w:type="dxa"/>
            <w:vMerge w:val="continue"/>
            <w:tcBorders/>
            <w:vAlign w:val="bottom"/>
          </w:tcPr>
          <w:p>
            <w:pPr>
              <w:pStyle w:val="Normal"/>
              <w:bidi w:val="0"/>
              <w:jc w:val="left"/>
              <w:rPr/>
            </w:pPr>
            <w:r>
              <w:rPr/>
            </w:r>
          </w:p>
        </w:tc>
        <w:tc>
          <w:tcPr>
            <w:tcW w:w="119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20"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r>
          </w:p>
        </w:tc>
        <w:tc>
          <w:tcPr>
            <w:tcW w:w="123"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w:t>
              <w:br/>
              <w:t>Stock</w:t>
              <w:br/>
              <w:t>Outstanding</w:t>
            </w:r>
          </w:p>
        </w:tc>
        <w:tc>
          <w:tcPr>
            <w:tcW w:w="70" w:type="dxa"/>
            <w:tcBorders/>
            <w:vAlign w:val="bottom"/>
          </w:tcPr>
          <w:p>
            <w:pPr>
              <w:pStyle w:val="TableContents"/>
              <w:bidi w:val="0"/>
              <w:spacing w:before="0" w:after="283"/>
              <w:jc w:val="left"/>
              <w:rPr/>
            </w:pPr>
            <w:r>
              <w:rPr/>
              <w:t> </w:t>
            </w:r>
          </w:p>
        </w:tc>
      </w:tr>
      <w:tr>
        <w:trPr/>
        <w:tc>
          <w:tcPr>
            <w:tcW w:w="2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Sylebra Capital Partners Master Fund Ltd</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24,056,094</w:t>
            </w:r>
          </w:p>
        </w:tc>
        <w:tc>
          <w:tcPr>
            <w:tcW w:w="352" w:type="dxa"/>
            <w:tcBorders/>
            <w:shd w:fill="CCEEFF" w:val="clear"/>
            <w:vAlign w:val="bottom"/>
          </w:tcPr>
          <w:p>
            <w:pPr>
              <w:pStyle w:val="TableContents"/>
              <w:bidi w:val="0"/>
              <w:spacing w:before="0" w:after="283"/>
              <w:jc w:val="left"/>
              <w:rPr/>
            </w:pPr>
            <w:r>
              <w:rPr/>
              <w:t>(1) </w:t>
            </w:r>
          </w:p>
        </w:tc>
        <w:tc>
          <w:tcPr>
            <w:tcW w:w="16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9.2</w:t>
            </w:r>
          </w:p>
        </w:tc>
        <w:tc>
          <w:tcPr>
            <w:tcW w:w="28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24,056,094</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308" w:type="dxa"/>
            <w:tcBorders/>
          </w:tcPr>
          <w:p>
            <w:pPr>
              <w:pStyle w:val="TableContents"/>
              <w:bidi w:val="0"/>
              <w:spacing w:before="0" w:after="0"/>
              <w:jc w:val="left"/>
              <w:rPr>
                <w:rFonts w:ascii="Times New Roman" w:hAnsi="Times New Roman"/>
                <w:sz w:val="20"/>
              </w:rPr>
            </w:pPr>
            <w:r>
              <w:rPr>
                <w:rFonts w:ascii="Times New Roman" w:hAnsi="Times New Roman"/>
                <w:sz w:val="20"/>
              </w:rPr>
              <w:t>Sylebra Capital Parc Master Fund</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9,113,061</w:t>
            </w:r>
          </w:p>
        </w:tc>
        <w:tc>
          <w:tcPr>
            <w:tcW w:w="352" w:type="dxa"/>
            <w:tcBorders/>
            <w:vAlign w:val="bottom"/>
          </w:tcPr>
          <w:p>
            <w:pPr>
              <w:pStyle w:val="TableContents"/>
              <w:bidi w:val="0"/>
              <w:spacing w:before="0" w:after="283"/>
              <w:jc w:val="left"/>
              <w:rPr/>
            </w:pPr>
            <w:r>
              <w:rPr/>
              <w:t>(2) </w:t>
            </w:r>
          </w:p>
        </w:tc>
        <w:tc>
          <w:tcPr>
            <w:tcW w:w="16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3.5</w:t>
            </w:r>
          </w:p>
        </w:tc>
        <w:tc>
          <w:tcPr>
            <w:tcW w:w="28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9,113,061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Sylebra Capital Menlo Master Fund</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477,541</w:t>
            </w:r>
          </w:p>
        </w:tc>
        <w:tc>
          <w:tcPr>
            <w:tcW w:w="352" w:type="dxa"/>
            <w:tcBorders/>
            <w:shd w:fill="CCEEFF" w:val="clear"/>
            <w:vAlign w:val="bottom"/>
          </w:tcPr>
          <w:p>
            <w:pPr>
              <w:pStyle w:val="TableContents"/>
              <w:bidi w:val="0"/>
              <w:spacing w:before="0" w:after="283"/>
              <w:jc w:val="left"/>
              <w:rPr/>
            </w:pPr>
            <w:r>
              <w:rPr/>
              <w:t>(3) </w:t>
            </w:r>
          </w:p>
        </w:tc>
        <w:tc>
          <w:tcPr>
            <w:tcW w:w="16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477,541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308" w:type="dxa"/>
            <w:tcBorders/>
          </w:tcPr>
          <w:p>
            <w:pPr>
              <w:pStyle w:val="TableContents"/>
              <w:bidi w:val="0"/>
              <w:spacing w:before="0" w:after="0"/>
              <w:jc w:val="left"/>
              <w:rPr>
                <w:rFonts w:ascii="Times New Roman" w:hAnsi="Times New Roman"/>
                <w:sz w:val="20"/>
              </w:rPr>
            </w:pPr>
            <w:r>
              <w:rPr>
                <w:rFonts w:ascii="Times New Roman" w:hAnsi="Times New Roman"/>
                <w:sz w:val="20"/>
              </w:rPr>
              <w:t>Blackwell Partners LLC  Series A</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3,621,347</w:t>
            </w:r>
          </w:p>
        </w:tc>
        <w:tc>
          <w:tcPr>
            <w:tcW w:w="352" w:type="dxa"/>
            <w:tcBorders/>
            <w:vAlign w:val="bottom"/>
          </w:tcPr>
          <w:p>
            <w:pPr>
              <w:pStyle w:val="TableContents"/>
              <w:bidi w:val="0"/>
              <w:spacing w:before="0" w:after="283"/>
              <w:jc w:val="left"/>
              <w:rPr/>
            </w:pPr>
            <w:r>
              <w:rPr/>
              <w:t>(4) </w:t>
            </w:r>
          </w:p>
        </w:tc>
        <w:tc>
          <w:tcPr>
            <w:tcW w:w="16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1.4</w:t>
            </w:r>
          </w:p>
        </w:tc>
        <w:tc>
          <w:tcPr>
            <w:tcW w:w="28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3,621,347</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Blackstone CSP-MST FMAP Fund</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2,526,984</w:t>
            </w:r>
          </w:p>
        </w:tc>
        <w:tc>
          <w:tcPr>
            <w:tcW w:w="352" w:type="dxa"/>
            <w:tcBorders/>
            <w:shd w:fill="CCEEFF" w:val="clear"/>
            <w:vAlign w:val="bottom"/>
          </w:tcPr>
          <w:p>
            <w:pPr>
              <w:pStyle w:val="TableContents"/>
              <w:bidi w:val="0"/>
              <w:spacing w:before="0" w:after="283"/>
              <w:jc w:val="left"/>
              <w:rPr/>
            </w:pPr>
            <w:r>
              <w:rPr/>
              <w:t>(5) </w:t>
            </w:r>
          </w:p>
        </w:tc>
        <w:tc>
          <w:tcPr>
            <w:tcW w:w="16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w:t>
            </w:r>
          </w:p>
        </w:tc>
        <w:tc>
          <w:tcPr>
            <w:tcW w:w="28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2,526,984</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308" w:type="dxa"/>
            <w:tcBorders/>
          </w:tcPr>
          <w:p>
            <w:pPr>
              <w:pStyle w:val="TableContents"/>
              <w:bidi w:val="0"/>
              <w:spacing w:before="0" w:after="0"/>
              <w:jc w:val="left"/>
              <w:rPr>
                <w:rFonts w:ascii="Times New Roman" w:hAnsi="Times New Roman"/>
                <w:sz w:val="20"/>
              </w:rPr>
            </w:pPr>
            <w:r>
              <w:rPr>
                <w:rFonts w:ascii="Times New Roman" w:hAnsi="Times New Roman"/>
                <w:sz w:val="20"/>
              </w:rPr>
              <w:t>Adage Capital Partners LP</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12,007,272</w:t>
            </w:r>
          </w:p>
        </w:tc>
        <w:tc>
          <w:tcPr>
            <w:tcW w:w="3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4.6</w:t>
            </w:r>
          </w:p>
        </w:tc>
        <w:tc>
          <w:tcPr>
            <w:tcW w:w="28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12,007,272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14,988,594 shares of Common Stock and 9,067,500 shares of Common Stock issuable upon the exercise of Series A Warrants purchased pursuant to the Facility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5,678,061 shares of Common Stock and 3,435,000 shares of Common Stock issuable upon the exercise of Series A Warrants purchased pursuant to the Facility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297,541 shares of Common Stock and 180,000 shares of Common Stock issuable upon the exercise of Series A Warrants purchased pursuant to the Facility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2,256,347 shares of Common Stock and 1,365,000 shares of Common Stock issuable upon the exercise of Series A Warrants purchased pursuant to the Facility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1,574,484 shares of Common Stock and 952,500 shares of Common Stock issuable upon the exercise of Series A Warrants purchased pursuant to the Facility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90746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their pledgees, donees, transferees or other successors in interest, may from time to time offer and sell, separately or together, shares of common stock covered by this prospectus. Registration of the shares of common stock covered by this prospectus does not mean, however, that those shares of common stock necessarily will be offered or sold.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covered by this prospectus may be sold from time to time, at market prices prevailing at the time of sale, at prices related to market prices, at a fixed price or prices subject to change or at negotiated prices,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New York Stock Exchange (including through at the market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broker-dealers, who may act as agents or principals;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underwriters on a firm commitment or best-efforts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block trade in which a broker-dealer will attempt to sell a block of shares of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put or call option transactions relating to the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combination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brokers or dealers engaged by us and/or the Selling Stockholders may arrange for other brokers or dealers to participate. Broker/dealer transactions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of the shares of common stock by a broker-dealer as principal and resales of the shares of common stock by the broker-dealer for its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 which the broker/dealer solicits purchasers on a best efforts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have not entered into any agreements, understandings or arrangements with any underwriters or broker-dealers regarding the sale of the common stock covered by this prospectus. At any time a particular offer of the shares of common stock covered by this prospectus is made, a revised prospectus or prospectus supplement, if required, will set forth the aggregate amount of shares of common stock covered by this prospectus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prospectus supplement. To the extent required, any such prospectus supplement, and, if necessary, a post-effective amendment to the registration statement of which this prospectus is a part, will be filed with the SEC to reflect the disclosure of additional information with respect to the distribution of the shares of common stock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applicable prospectus supplement will set forth whether or not underwriters may over-allot or effect transactions that stabilize, maintain or otherwise affect the market price of the common stock at levels above those that might otherwise prevail in the open market, including, for example, by entering stabilizing bids, effecting syndicate covering transactions or imposing penalty bids.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Selling Stockholders utilize a dealer in the sale of the securities being offered pursuant to this prospectus, the Selling Stockholders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authorize agents or underwriters to solicit offers by certain types of institutional investors to purchase securities at the public offering price set forth in the revised prospectus or prospectus supplement pursuant to delayed delivery contracts providing for payment and delivery on a specified date in the future. The conditions to these contracts and the commission that the Selling Stockholders must pay for solicitation of these contracts will be described in a revised prospectus or prospectus supplement, to the extent such revised prospectus or prospectus supplement is required.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shares of common stock covered by this prospectus through underwriters, underwriters may receive compensation in the form of underwriting discounts or commissions and may also receive commissions from purchasers of shares of common stock for whom they may act as agent. Underwriters may sell to or through dealers, and such dealers may receive compensation in the form of discounts, concessions or commissions from the underwriters and/or commissions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broker/dealers or agents participating in the distribution of the shares of common stock covered by this prospectus may be deemed to be underwriters within the meaning of the Securities Act, and any commissions received by any of those underwriters, broker/dealers or agents may be deemed to be underwriting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may agree to indemnify underwriters, broker-dealers or agents against certain liabilities, including liabilities under the Securities Act, and may also agree to contribute to payments which the underwriters, broker/dealers or agents may be required to make.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broker/dealers or agents who may become involved in the sale of the shares of common stock may engage in transactions with and perform other services for us in the ordinary course of their business for which they receive customary compensation.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shares of common stock covered by this prospectus may be sold by Selling Stockholders in private transactions or under Rule 144 under the Securities Act rather than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90746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will be passed upon for us by Simpson Thacher &amp; Bartlett LLP, Palo Alto, California. </w:t>
      </w:r>
    </w:p>
    <w:p>
      <w:pPr>
        <w:pStyle w:val="TextBody"/>
        <w:bidi w:val="0"/>
        <w:spacing w:before="480" w:after="0"/>
        <w:jc w:val="center"/>
        <w:rPr>
          <w:rFonts w:ascii="Times New Roman" w:hAnsi="Times New Roman"/>
          <w:b/>
          <w:sz w:val="20"/>
        </w:rPr>
      </w:pPr>
      <w:bookmarkStart w:id="11" w:name="toc90746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incorporated in this prospectus by reference from the Companys Annual Report on Form 10-K for the year ended December 31, 2022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 </w:t>
      </w:r>
    </w:p>
    <w:p>
      <w:pPr>
        <w:pStyle w:val="TextBody"/>
        <w:bidi w:val="0"/>
        <w:spacing w:before="480" w:after="0"/>
        <w:jc w:val="center"/>
        <w:rPr>
          <w:rFonts w:ascii="Times New Roman" w:hAnsi="Times New Roman"/>
          <w:b/>
          <w:sz w:val="20"/>
        </w:rPr>
      </w:pPr>
      <w:bookmarkStart w:id="12" w:name="toc90746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This prospectus is part of the registration statement, but does not contain all of the information included in the registration statement or the exhibits. Our SEC filings are available to the public on the internet at a website maintained by the SEC located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http://www.aeva.com.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and other information with the SEC. Our SEC filings are available to the public at the SECs website at http://www.sec.gov as well as our website at http://www.aeva.com; however, information on, or accessible through, our website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Our filings with the SEC are available to the public on the SECs website at http://www.sec.gov as well as our website at http://www.aeva.com. The information contained on our corporate website or any other website maintained by us is not part of this prospectus, any prospectus supplement or the registration statement of which this prospectus is a part except to the extent that SEC filings on such websites are otherwise incorporated by reference herein. We will provide to you a copy of any or all of the filings incorporated by reference in this prospectus and any other documents referred to in this prospectus, the applicable prospectus supplement or any applicable free writing prospectus, free of charge. To request a copy of any such filing or other document, you should write: </w:t>
      </w:r>
    </w:p>
    <w:p>
      <w:pPr>
        <w:pStyle w:val="TextBody"/>
        <w:bidi w:val="0"/>
        <w:spacing w:before="240" w:after="0"/>
        <w:jc w:val="center"/>
        <w:rPr>
          <w:rFonts w:ascii="Times New Roman" w:hAnsi="Times New Roman"/>
          <w:sz w:val="20"/>
        </w:rPr>
      </w:pPr>
      <w:r>
        <w:rPr>
          <w:rFonts w:ascii="Times New Roman" w:hAnsi="Times New Roman"/>
          <w:sz w:val="20"/>
        </w:rPr>
        <w:t xml:space="preserve">(650) 481-7070 </w:t>
      </w:r>
    </w:p>
    <w:p>
      <w:pPr>
        <w:pStyle w:val="TextBody"/>
        <w:bidi w:val="0"/>
        <w:spacing w:before="0" w:after="0"/>
        <w:jc w:val="center"/>
        <w:rPr>
          <w:rFonts w:ascii="Times New Roman" w:hAnsi="Times New Roman"/>
          <w:sz w:val="20"/>
        </w:rPr>
      </w:pPr>
      <w:r>
        <w:rPr>
          <w:rFonts w:ascii="Times New Roman" w:hAnsi="Times New Roman"/>
          <w:sz w:val="20"/>
        </w:rPr>
        <w:t xml:space="preserve">555 Ellis Street </w:t>
      </w:r>
    </w:p>
    <w:p>
      <w:pPr>
        <w:pStyle w:val="TextBody"/>
        <w:bidi w:val="0"/>
        <w:spacing w:before="0" w:after="0"/>
        <w:jc w:val="center"/>
        <w:rPr>
          <w:rFonts w:ascii="Times New Roman" w:hAnsi="Times New Roman"/>
          <w:sz w:val="20"/>
        </w:rPr>
      </w:pPr>
      <w:r>
        <w:rPr>
          <w:rFonts w:ascii="Times New Roman" w:hAnsi="Times New Roman"/>
          <w:sz w:val="20"/>
        </w:rPr>
        <w:t xml:space="preserve">Mountain View, CA 94043 </w:t>
      </w:r>
    </w:p>
    <w:p>
      <w:pPr>
        <w:pStyle w:val="TextBody"/>
        <w:bidi w:val="0"/>
        <w:spacing w:before="0" w:after="0"/>
        <w:jc w:val="center"/>
        <w:rPr>
          <w:rFonts w:ascii="Times New Roman" w:hAnsi="Times New Roman"/>
          <w:sz w:val="20"/>
        </w:rPr>
      </w:pPr>
      <w:r>
        <w:rPr>
          <w:rFonts w:ascii="Times New Roman" w:hAnsi="Times New Roman"/>
          <w:sz w:val="20"/>
        </w:rPr>
        <w:t xml:space="preserve">e-mail: investors@aeva.ai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 under the Securities Act and does not contain all of the information in such registration statement. You may read or obtain a copy of the registration statement, including the exhibits thereto, from the SEC or us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90746_11"/>
      <w:bookmarkEnd w:id="13"/>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This means that we can disclose important information to you by referring you to another document. The information incorporated by reference is considered to be a part of this prospectus. This prospectus incorporates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 ended </w:t>
            </w:r>
            <w:hyperlink r:id="rId4">
              <w:r>
                <w:rPr>
                  <w:rStyle w:val="InternetLink"/>
                  <w:rFonts w:ascii="Times New Roman" w:hAnsi="Times New Roman"/>
                  <w:sz w:val="20"/>
                </w:rPr>
                <w:t>March 31, 2023</w:t>
              </w:r>
            </w:hyperlink>
            <w:r>
              <w:rPr>
                <w:rFonts w:ascii="Times New Roman" w:hAnsi="Times New Roman"/>
                <w:sz w:val="20"/>
              </w:rPr>
              <w:t xml:space="preserve">, </w:t>
            </w:r>
            <w:hyperlink r:id="rId5">
              <w:r>
                <w:rPr>
                  <w:rStyle w:val="InternetLink"/>
                  <w:rFonts w:ascii="Times New Roman" w:hAnsi="Times New Roman"/>
                  <w:sz w:val="20"/>
                </w:rPr>
                <w:t>June  30, 2023</w:t>
              </w:r>
            </w:hyperlink>
            <w:r>
              <w:rPr>
                <w:rFonts w:ascii="Times New Roman" w:hAnsi="Times New Roman"/>
                <w:sz w:val="20"/>
              </w:rPr>
              <w:t xml:space="preserve"> and </w:t>
            </w:r>
            <w:hyperlink r:id="rId6">
              <w:r>
                <w:rPr>
                  <w:rStyle w:val="InternetLink"/>
                  <w:rFonts w:ascii="Times New Roman" w:hAnsi="Times New Roman"/>
                  <w:sz w:val="20"/>
                </w:rPr>
                <w:t>September 30,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periodic reports on Form 8-K filed on </w:t>
            </w:r>
            <w:hyperlink r:id="rId7">
              <w:r>
                <w:rPr>
                  <w:rStyle w:val="InternetLink"/>
                  <w:rFonts w:ascii="Times New Roman" w:hAnsi="Times New Roman"/>
                  <w:sz w:val="20"/>
                </w:rPr>
                <w:t>May 8, 2023</w:t>
              </w:r>
            </w:hyperlink>
            <w:r>
              <w:rPr>
                <w:rFonts w:ascii="Times New Roman" w:hAnsi="Times New Roman"/>
                <w:sz w:val="20"/>
              </w:rPr>
              <w:t xml:space="preserve">, </w:t>
            </w:r>
            <w:hyperlink r:id="rId8">
              <w:r>
                <w:rPr>
                  <w:rStyle w:val="InternetLink"/>
                  <w:rFonts w:ascii="Times New Roman" w:hAnsi="Times New Roman"/>
                  <w:sz w:val="20"/>
                </w:rPr>
                <w:t>September  22, 2023</w:t>
              </w:r>
            </w:hyperlink>
            <w:r>
              <w:rPr>
                <w:rFonts w:ascii="Times New Roman" w:hAnsi="Times New Roman"/>
                <w:sz w:val="20"/>
              </w:rPr>
              <w:t xml:space="preserve">, </w:t>
            </w:r>
            <w:hyperlink r:id="rId9">
              <w:r>
                <w:rPr>
                  <w:rStyle w:val="InternetLink"/>
                  <w:rFonts w:ascii="Times New Roman" w:hAnsi="Times New Roman"/>
                  <w:sz w:val="20"/>
                </w:rPr>
                <w:t>November  8, 2023</w:t>
              </w:r>
            </w:hyperlink>
            <w:r>
              <w:rPr>
                <w:rFonts w:ascii="Times New Roman" w:hAnsi="Times New Roman"/>
                <w:sz w:val="20"/>
              </w:rPr>
              <w:t xml:space="preserve">, </w:t>
            </w:r>
            <w:hyperlink r:id="rId10">
              <w:r>
                <w:rPr>
                  <w:rStyle w:val="InternetLink"/>
                  <w:rFonts w:ascii="Times New Roman" w:hAnsi="Times New Roman"/>
                  <w:sz w:val="20"/>
                </w:rPr>
                <w:t>December  20, 2023</w:t>
              </w:r>
            </w:hyperlink>
            <w:r>
              <w:rPr>
                <w:rFonts w:ascii="Times New Roman" w:hAnsi="Times New Roman"/>
                <w:sz w:val="20"/>
              </w:rPr>
              <w:t xml:space="preserve">, </w:t>
            </w:r>
            <w:hyperlink r:id="rId11">
              <w:r>
                <w:rPr>
                  <w:rStyle w:val="InternetLink"/>
                  <w:rFonts w:ascii="Times New Roman" w:hAnsi="Times New Roman"/>
                  <w:sz w:val="20"/>
                </w:rPr>
                <w:t>January 3, 2024</w:t>
              </w:r>
            </w:hyperlink>
            <w:r>
              <w:rPr>
                <w:rFonts w:ascii="Times New Roman" w:hAnsi="Times New Roman"/>
                <w:sz w:val="20"/>
              </w:rPr>
              <w:t xml:space="preserve"> and </w:t>
            </w:r>
            <w:hyperlink r:id="rId12">
              <w:r>
                <w:rPr>
                  <w:rStyle w:val="InternetLink"/>
                  <w:rFonts w:ascii="Times New Roman" w:hAnsi="Times New Roman"/>
                  <w:sz w:val="20"/>
                </w:rPr>
                <w:t>January 9,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documents filed by us under sections 13(a), 13(c), 14 or 15(d) of the Exchange Act after the date of this prospectus and before the termination of the offerings to which this prospectus relates (other than documents and information furnished and not filed in accordance with SEC rules, unless expressly stated otherwise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through us or from the SEC as noted above in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9060" cy="1346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99060" cy="1346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300" w:after="0"/>
        <w:jc w:val="center"/>
        <w:rPr/>
      </w:pPr>
      <w:r>
        <w:rPr/>
        <w:t>      </w:t>
      </w:r>
      <w:r>
        <w:rPr>
          <w:rFonts w:ascii="Times New Roman" w:hAnsi="Times New Roman"/>
          <w:b/>
          <w:sz w:val="20"/>
        </w:rPr>
        <w:t xml:space="preserve">,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expenses payable by the Registrant expected to be incurred in connection with the issuance and distribution of the shares of common stock being registered hereby (other than underwriting discounts and commissions). All of such expenses are estimates, other than the filing fees payable to the Securities and Exchange Commission and the Financial Industry Regulatory Authority, Inc.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579"/>
        <w:gridCol w:w="383"/>
        <w:gridCol w:w="142"/>
        <w:gridCol w:w="1220"/>
        <w:gridCol w:w="64"/>
      </w:tblGrid>
      <w:tr>
        <w:trPr/>
        <w:tc>
          <w:tcPr>
            <w:tcW w:w="7579"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w:t>
            </w:r>
          </w:p>
        </w:tc>
        <w:tc>
          <w:tcPr>
            <w:tcW w:w="38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5,709.28</w:t>
            </w:r>
          </w:p>
        </w:tc>
        <w:tc>
          <w:tcPr>
            <w:tcW w:w="64" w:type="dxa"/>
            <w:tcBorders/>
            <w:shd w:fill="CCEEFF" w:val="clear"/>
            <w:vAlign w:val="bottom"/>
          </w:tcPr>
          <w:p>
            <w:pPr>
              <w:pStyle w:val="TableContents"/>
              <w:bidi w:val="0"/>
              <w:spacing w:before="0" w:after="283"/>
              <w:jc w:val="left"/>
              <w:rPr/>
            </w:pPr>
            <w:r>
              <w:rPr/>
              <w:t> </w:t>
            </w:r>
          </w:p>
        </w:tc>
      </w:tr>
      <w:tr>
        <w:trPr/>
        <w:tc>
          <w:tcPr>
            <w:tcW w:w="7579"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8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100,000.00</w:t>
            </w:r>
          </w:p>
        </w:tc>
        <w:tc>
          <w:tcPr>
            <w:tcW w:w="64" w:type="dxa"/>
            <w:tcBorders/>
            <w:vAlign w:val="bottom"/>
          </w:tcPr>
          <w:p>
            <w:pPr>
              <w:pStyle w:val="TableContents"/>
              <w:bidi w:val="0"/>
              <w:spacing w:before="0" w:after="283"/>
              <w:jc w:val="left"/>
              <w:rPr/>
            </w:pPr>
            <w:r>
              <w:rPr/>
              <w:t> </w:t>
            </w:r>
          </w:p>
        </w:tc>
      </w:tr>
      <w:tr>
        <w:trPr/>
        <w:tc>
          <w:tcPr>
            <w:tcW w:w="7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8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80,000.00</w:t>
            </w:r>
          </w:p>
        </w:tc>
        <w:tc>
          <w:tcPr>
            <w:tcW w:w="64" w:type="dxa"/>
            <w:tcBorders/>
            <w:shd w:fill="CCEEFF" w:val="clear"/>
            <w:vAlign w:val="bottom"/>
          </w:tcPr>
          <w:p>
            <w:pPr>
              <w:pStyle w:val="TableContents"/>
              <w:bidi w:val="0"/>
              <w:spacing w:before="0" w:after="283"/>
              <w:jc w:val="left"/>
              <w:rPr/>
            </w:pPr>
            <w:r>
              <w:rPr/>
              <w:t> </w:t>
            </w:r>
          </w:p>
        </w:tc>
      </w:tr>
      <w:tr>
        <w:trPr/>
        <w:tc>
          <w:tcPr>
            <w:tcW w:w="7579"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38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14,290.72</w:t>
            </w:r>
          </w:p>
        </w:tc>
        <w:tc>
          <w:tcPr>
            <w:tcW w:w="64" w:type="dxa"/>
            <w:tcBorders/>
            <w:vAlign w:val="bottom"/>
          </w:tcPr>
          <w:p>
            <w:pPr>
              <w:pStyle w:val="TableContents"/>
              <w:bidi w:val="0"/>
              <w:spacing w:before="0" w:after="283"/>
              <w:jc w:val="left"/>
              <w:rPr/>
            </w:pPr>
            <w:r>
              <w:rPr/>
              <w:t> </w:t>
            </w:r>
          </w:p>
        </w:tc>
      </w:tr>
      <w:tr>
        <w:trPr/>
        <w:tc>
          <w:tcPr>
            <w:tcW w:w="7579"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200,000.00</w:t>
            </w:r>
          </w:p>
        </w:tc>
        <w:tc>
          <w:tcPr>
            <w:tcW w:w="64" w:type="dxa"/>
            <w:tcBorders/>
            <w:shd w:fill="CCEEFF" w:val="clear"/>
            <w:vAlign w:val="bottom"/>
          </w:tcPr>
          <w:p>
            <w:pPr>
              <w:pStyle w:val="TableContents"/>
              <w:bidi w:val="0"/>
              <w:spacing w:before="0" w:after="283"/>
              <w:jc w:val="left"/>
              <w:rPr/>
            </w:pPr>
            <w:r>
              <w:rPr/>
              <w:t> </w:t>
            </w:r>
          </w:p>
        </w:tc>
      </w:tr>
      <w:tr>
        <w:trPr/>
        <w:tc>
          <w:tcPr>
            <w:tcW w:w="7579"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15.</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separate indemnification agreements with its directors and executive officers, in addition to the indemnification provided for in the Second Amended and Restated Certificate of Incorporation and the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These agreements, among other things, will require the Company to indemnify our directors and executive officers for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 The Company believes that these charter provisions and indemnification agreements are necessary to attract and retain qualified persons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the Second Amended and Restated Certificate of Incorporation and the Amended and Restated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we pay the costs of settlement and damage awards against directors and officers pursuant to these indemnification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Exhibits</w:t>
      </w:r>
      <w:r>
        <w:rPr>
          <w:rFonts w:ascii="Times New Roman" w:hAnsi="Times New Roman"/>
          <w:sz w:val="20"/>
        </w:rPr>
        <w:t xml:space="preserve">. See Exhibit Index immediately preceding the signature page hereto, which is incorporated 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Financial Statement Schedules</w:t>
      </w:r>
      <w:r>
        <w:rPr>
          <w:rFonts w:ascii="Times New Roman" w:hAnsi="Times New Roman"/>
          <w:sz w:val="20"/>
        </w:rPr>
        <w:t xml:space="preserve">. 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the undertakings set forth in paragraphs (A), (B) and (C)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
        <w:gridCol w:w="599"/>
        <w:gridCol w:w="8989"/>
      </w:tblGrid>
      <w:tr>
        <w:trPr/>
        <w:tc>
          <w:tcPr>
            <w:tcW w:w="617"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8989"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599" w:type="dxa"/>
            <w:tcBorders/>
            <w:vAlign w:val="bottom"/>
          </w:tcPr>
          <w:p>
            <w:pPr>
              <w:pStyle w:val="TableContents"/>
              <w:bidi w:val="0"/>
              <w:spacing w:before="0" w:after="283"/>
              <w:jc w:val="left"/>
              <w:rPr/>
            </w:pPr>
            <w:r>
              <w:rPr/>
              <w:t>  </w:t>
            </w:r>
          </w:p>
        </w:tc>
        <w:tc>
          <w:tcPr>
            <w:tcW w:w="89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3.1</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4">
              <w:r>
                <w:rPr>
                  <w:rStyle w:val="InternetLink"/>
                </w:rPr>
                <w:t xml:space="preserve">Second Amended and Restated Certificate of Incorporation of Aeva Technologies, Inc. (incorporated by reference to Exhibit 3.1 to the Current Report on Form 8-K filed by the Registrant on March 18, 2021).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3.2</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5">
              <w:r>
                <w:rPr>
                  <w:rStyle w:val="InternetLink"/>
                </w:rPr>
                <w:t>Amended and Restated By-laws of Aeva Technologies, Inc. (incorporated by reference to Exhibit 3.2 to the Current Report on Form 8-K filed by the Registrant on March 18, 2021).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4.1</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6">
              <w:r>
                <w:rPr>
                  <w:rStyle w:val="InternetLink"/>
                </w:rPr>
                <w:t xml:space="preserve">Form of Series A Warrant, issued to investors on December  18, 2023 (incorporated by reference to Exhibit 4.1 to the Registration Statement on Form S-3 filed on January 9, 2024).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4.2</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7">
              <w:r>
                <w:rPr>
                  <w:rStyle w:val="InternetLink"/>
                </w:rPr>
                <w:t xml:space="preserve">Registration Rights Agreement, dated as of November  8, 2023, by and among investment entities affiliated with Sylebra Capital Limited and Aeva Technologies, Inc. (incorporated by reference to Exhibit 4.1 to the Current Report on Form 8-K filed by the Registrant on November 8, 2023).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5.1</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8">
              <w:r>
                <w:rPr>
                  <w:rStyle w:val="InternetLink"/>
                </w:rPr>
                <w:t xml:space="preserve">Opinion of Simpson Thacher &amp; Bartlett LLP regarding validity of the shares of common stock registered (previously filed).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10.1</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9">
              <w:r>
                <w:rPr>
                  <w:rStyle w:val="InternetLink"/>
                </w:rPr>
                <w:t>Form of Subscription Agreement (incorporated by reference to Exhibit 10.1 to the Current Report on Form 8-K filed by the Registrant on November 8, 2023).</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10.2</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20">
              <w:r>
                <w:rPr>
                  <w:rStyle w:val="InternetLink"/>
                </w:rPr>
                <w:t>Standby Equity Purchase Agreement, dated as of November  8, 2023, by and among Aeva Technologies, Inc. and investment entities affiliated with Sylebra Capital Limited (incorporated by reference to Exhibit 10.2 to the Current Report on Form 8-K filed by the Registrant on November 8, 2023).</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23.1</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90746dex231.htm">
              <w:r>
                <w:rPr>
                  <w:rStyle w:val="InternetLink"/>
                </w:rPr>
                <w:t xml:space="preserve">Consent of Deloitte &amp; Touche LLP.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23.2</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21">
              <w:r>
                <w:rPr>
                  <w:rStyle w:val="InternetLink"/>
                </w:rPr>
                <w:t xml:space="preserve">Consent of Simpson Thacher &amp; Bartlett LLP (included as part of Exhibit 5.1).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24.1</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fldChar w:fldCharType="begin"/>
            </w:r>
            <w:r>
              <w:rPr>
                <w:rStyle w:val="InternetLink"/>
              </w:rPr>
              <w:instrText xml:space="preserve"> HYPERLINK "http://www.sec.gov/Archives/edgar/data/1789029/000119312524004647/d90746ds3.htm" \l "sig"</w:instrText>
            </w:r>
            <w:r>
              <w:rPr>
                <w:rStyle w:val="InternetLink"/>
              </w:rPr>
              <w:fldChar w:fldCharType="separate"/>
            </w:r>
            <w:r>
              <w:rPr>
                <w:rStyle w:val="InternetLink"/>
              </w:rPr>
              <w:t xml:space="preserve">Power of Attorney (included on signature pages to the Registration Statement on Form S-3 filed on January 9, 2024). </w:t>
            </w:r>
            <w:r>
              <w:rPr>
                <w:rStyle w:val="InternetLink"/>
              </w:rPr>
              <w:fldChar w:fldCharType="end"/>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107</w:t>
            </w:r>
          </w:p>
        </w:tc>
        <w:tc>
          <w:tcPr>
            <w:tcW w:w="599"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22">
              <w:r>
                <w:rPr>
                  <w:rStyle w:val="InternetLink"/>
                </w:rPr>
                <w:t xml:space="preserve">Calculation of Registration Fee (previously filed).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ig"/>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caused this registration statement to be signed on its behalf by the undersigned, thereunto duly authorized, in the City of Mountain View, State of California, on January 29,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Aeva Technologies,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Soroush Salehian Dardashti</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Soroush Salehian Dardashti</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indicated on January 29,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Soroush Salehian Dardashti</w:t>
            </w:r>
          </w:p>
          <w:p>
            <w:pPr>
              <w:pStyle w:val="TableContents"/>
              <w:bidi w:val="0"/>
              <w:spacing w:before="0" w:after="20"/>
              <w:jc w:val="center"/>
              <w:rPr>
                <w:rFonts w:ascii="Times New Roman" w:hAnsi="Times New Roman"/>
                <w:sz w:val="20"/>
              </w:rPr>
            </w:pPr>
            <w:r>
              <w:rPr>
                <w:rFonts w:ascii="Times New Roman" w:hAnsi="Times New Roman"/>
                <w:sz w:val="20"/>
              </w:rPr>
              <w:t>Soroush Salehian Dardashti</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Saurabh Sinha</w:t>
            </w:r>
          </w:p>
          <w:p>
            <w:pPr>
              <w:pStyle w:val="TableContents"/>
              <w:bidi w:val="0"/>
              <w:spacing w:before="0" w:after="20"/>
              <w:jc w:val="center"/>
              <w:rPr>
                <w:rFonts w:ascii="Times New Roman" w:hAnsi="Times New Roman"/>
                <w:sz w:val="20"/>
              </w:rPr>
            </w:pPr>
            <w:r>
              <w:rPr>
                <w:rFonts w:ascii="Times New Roman" w:hAnsi="Times New Roman"/>
                <w:sz w:val="20"/>
              </w:rPr>
              <w:t>Saurabh Sinha</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Mina Rezk</w:t>
            </w:r>
          </w:p>
          <w:p>
            <w:pPr>
              <w:pStyle w:val="TableContents"/>
              <w:bidi w:val="0"/>
              <w:spacing w:before="0" w:after="20"/>
              <w:jc w:val="center"/>
              <w:rPr>
                <w:rFonts w:ascii="Times New Roman" w:hAnsi="Times New Roman"/>
                <w:sz w:val="20"/>
              </w:rPr>
            </w:pPr>
            <w:r>
              <w:rPr>
                <w:rFonts w:ascii="Times New Roman" w:hAnsi="Times New Roman"/>
                <w:sz w:val="20"/>
              </w:rPr>
              <w:t>Mina Rezk</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Technology Officer and Director</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Stefan Sommer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Hrach Simonian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Christopher Eberle</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Erin L. Polek</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12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Stephen Zadesky</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24"/>
        <w:gridCol w:w="88"/>
        <w:gridCol w:w="3570"/>
      </w:tblGrid>
      <w:tr>
        <w:trPr/>
        <w:tc>
          <w:tcPr>
            <w:tcW w:w="424"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570" w:type="dxa"/>
            <w:tcBorders/>
            <w:vAlign w:val="center"/>
          </w:tcPr>
          <w:p>
            <w:pPr>
              <w:pStyle w:val="TableContents"/>
              <w:bidi w:val="0"/>
              <w:spacing w:before="0" w:after="283"/>
              <w:jc w:val="left"/>
              <w:rPr>
                <w:sz w:val="4"/>
                <w:szCs w:val="4"/>
              </w:rPr>
            </w:pPr>
            <w:r>
              <w:rPr>
                <w:sz w:val="4"/>
                <w:szCs w:val="4"/>
              </w:rPr>
            </w:r>
          </w:p>
        </w:tc>
      </w:tr>
      <w:tr>
        <w:trPr/>
        <w:tc>
          <w:tcPr>
            <w:tcW w:w="424" w:type="dxa"/>
            <w:tcBorders/>
          </w:tcPr>
          <w:p>
            <w:pPr>
              <w:pStyle w:val="TableContents"/>
              <w:bidi w:val="0"/>
              <w:spacing w:before="0" w:after="283"/>
              <w:jc w:val="left"/>
              <w:rPr/>
            </w:pPr>
            <w:r>
              <w:rPr/>
              <w:t>*By</w:t>
            </w:r>
          </w:p>
        </w:tc>
        <w:tc>
          <w:tcPr>
            <w:tcW w:w="88" w:type="dxa"/>
            <w:tcBorders/>
            <w:vAlign w:val="bottom"/>
          </w:tcPr>
          <w:p>
            <w:pPr>
              <w:pStyle w:val="TableContents"/>
              <w:bidi w:val="0"/>
              <w:spacing w:before="0" w:after="283"/>
              <w:jc w:val="left"/>
              <w:rPr/>
            </w:pPr>
            <w:r>
              <w:rPr/>
              <w:t> </w:t>
            </w:r>
          </w:p>
        </w:tc>
        <w:tc>
          <w:tcPr>
            <w:tcW w:w="357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Soroush Salehian Dardashti</w:t>
            </w:r>
          </w:p>
        </w:tc>
      </w:tr>
      <w:tr>
        <w:trPr/>
        <w:tc>
          <w:tcPr>
            <w:tcW w:w="424"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570" w:type="dxa"/>
            <w:tcBorders/>
          </w:tcPr>
          <w:p>
            <w:pPr>
              <w:pStyle w:val="TableContents"/>
              <w:bidi w:val="0"/>
              <w:spacing w:before="0" w:after="283"/>
              <w:jc w:val="left"/>
              <w:rPr/>
            </w:pPr>
            <w:r>
              <w:rPr/>
              <w:t>Soroush Salehian Dardashti</w:t>
            </w:r>
          </w:p>
        </w:tc>
      </w:tr>
      <w:tr>
        <w:trPr/>
        <w:tc>
          <w:tcPr>
            <w:tcW w:w="424"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570"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15" w:name="d90746dex231.htm"/>
      <w:bookmarkStart w:id="16" w:name="ksd90746dex231"/>
      <w:bookmarkEnd w:id="15"/>
      <w:bookmarkEnd w:id="16"/>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No. 333-276441 on Amendment No. 1 to Form S-3 of our report dated March 24, 2023, relating to the financial statements of Aeva Technologies, Inc., appearing in the Annual Report on Form 10-K of Aeva Technologies, Inc. for the year ended December 31, 2022.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Deloitte &amp; Touche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San Jose, CA</w:t>
            </w:r>
          </w:p>
        </w:tc>
      </w:tr>
      <w:tr>
        <w:trPr/>
        <w:tc>
          <w:tcPr>
            <w:tcW w:w="4082" w:type="dxa"/>
            <w:tcBorders/>
          </w:tcPr>
          <w:p>
            <w:pPr>
              <w:pStyle w:val="TableContents"/>
              <w:bidi w:val="0"/>
              <w:spacing w:before="0" w:after="283"/>
              <w:jc w:val="left"/>
              <w:rPr/>
            </w:pPr>
            <w:r>
              <w:rPr/>
              <w:t>January 26, 2024</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89029/000095017023009764/aeva-20221231.htm" TargetMode="External"/><Relationship Id="rId4" Type="http://schemas.openxmlformats.org/officeDocument/2006/relationships/hyperlink" Target="http://www.sec.gov/Archives/edgar/data/../../../ix?doc=/Archives/edgar/data/1789029/000095017023021400/aeva-20230331.htm" TargetMode="External"/><Relationship Id="rId5" Type="http://schemas.openxmlformats.org/officeDocument/2006/relationships/hyperlink" Target="http://www.sec.gov/Archives/edgar/data/../../../ix?doc=/Archives/edgar/data/1789029/000095017023040852/aeva-20230630.htm" TargetMode="External"/><Relationship Id="rId6" Type="http://schemas.openxmlformats.org/officeDocument/2006/relationships/hyperlink" Target="http://www.sec.gov/Archives/edgar/data/../../../ix?doc=/Archives/edgar/data/1789029/000095017023063249/aeva-20230930.htm" TargetMode="External"/><Relationship Id="rId7" Type="http://schemas.openxmlformats.org/officeDocument/2006/relationships/hyperlink" Target="http://www.sec.gov/Archives/edgar/data/../../../ix?doc=/Archives/edgar/data/1789029/000119312523137358/d367767d8k.htm" TargetMode="External"/><Relationship Id="rId8" Type="http://schemas.openxmlformats.org/officeDocument/2006/relationships/hyperlink" Target="http://www.sec.gov/Archives/edgar/data/../../../ix?doc=/Archives/edgar/data/1789029/000095017023049462/aeva-20230921.htm" TargetMode="External"/><Relationship Id="rId9" Type="http://schemas.openxmlformats.org/officeDocument/2006/relationships/hyperlink" Target="http://www.sec.gov/Archives/edgar/data/../../../ix?doc=/Archives/edgar/data/1789029/000119312523273483/d589637d8k.htm" TargetMode="External"/><Relationship Id="rId10" Type="http://schemas.openxmlformats.org/officeDocument/2006/relationships/hyperlink" Target="http://www.sec.gov/Archives/edgar/data/../../../ix?doc=/Archives/edgar/data/1789029/000114036123058535/ef20016869_8k.htm" TargetMode="External"/><Relationship Id="rId11" Type="http://schemas.openxmlformats.org/officeDocument/2006/relationships/hyperlink" Target="http://www.sec.gov/Archives/edgar/data/../../../ix?doc=/Archives/edgar/data/1789029/000119312524001574/d691092d8k.htm" TargetMode="External"/><Relationship Id="rId12" Type="http://schemas.openxmlformats.org/officeDocument/2006/relationships/hyperlink" Target="http://www.sec.gov/Archives/edgar/data/../../../ix?doc=/Archives/edgar/data/1789029/000119312524004831/d642481d8k.htm" TargetMode="External"/><Relationship Id="rId13" Type="http://schemas.openxmlformats.org/officeDocument/2006/relationships/image" Target="media/image1.jpeg"/><Relationship Id="rId14" Type="http://schemas.openxmlformats.org/officeDocument/2006/relationships/hyperlink" Target="http://www.sec.gov/Archives/edgar/data/1789029/000119312521085985/d142612dex31.htm" TargetMode="External"/><Relationship Id="rId15" Type="http://schemas.openxmlformats.org/officeDocument/2006/relationships/hyperlink" Target="http://www.sec.gov/Archives/edgar/data/1789029/000119312521085985/d142612dex32.htm" TargetMode="External"/><Relationship Id="rId16" Type="http://schemas.openxmlformats.org/officeDocument/2006/relationships/hyperlink" Target="http://www.sec.gov/Archives/edgar/data/1789029/000119312524004647/d90746dex41.htm" TargetMode="External"/><Relationship Id="rId17" Type="http://schemas.openxmlformats.org/officeDocument/2006/relationships/hyperlink" Target="http://www.sec.gov/Archives/edgar/data/1789029/000119312523273483/d589637dex41.htm" TargetMode="External"/><Relationship Id="rId18" Type="http://schemas.openxmlformats.org/officeDocument/2006/relationships/hyperlink" Target="http://www.sec.gov/Archives/edgar/data/1789029/000119312524004647/d90746dex51.htm" TargetMode="External"/><Relationship Id="rId19" Type="http://schemas.openxmlformats.org/officeDocument/2006/relationships/hyperlink" Target="http://www.sec.gov/Archives/edgar/data/1789029/000119312523273483/d589637dex101.htm" TargetMode="External"/><Relationship Id="rId20" Type="http://schemas.openxmlformats.org/officeDocument/2006/relationships/hyperlink" Target="http://www.sec.gov/Archives/edgar/data/1789029/000119312523273483/d589637dex102.htm" TargetMode="External"/><Relationship Id="rId21" Type="http://schemas.openxmlformats.org/officeDocument/2006/relationships/hyperlink" Target="http://www.sec.gov/Archives/edgar/data/1789029/000119312524004647/d90746dex51.htm" TargetMode="External"/><Relationship Id="rId22" Type="http://schemas.openxmlformats.org/officeDocument/2006/relationships/hyperlink" Target="http://www.sec.gov/Archives/edgar/data/1789029/000119312524004647/d90746dexfilingfees.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9244</Words>
  <Characters>48783</Characters>
  <CharactersWithSpaces>58089</CharactersWithSpaces>
  <Paragraphs>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